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C69C3" w14:textId="4221606D" w:rsidR="00203D46" w:rsidRDefault="00203D46">
      <w:pPr>
        <w:pStyle w:val="Nagwek1"/>
        <w:keepNext w:val="0"/>
        <w:keepLines w:val="0"/>
        <w:spacing w:before="0"/>
        <w:rPr>
          <w:rFonts w:ascii="Verdana" w:hAnsi="Verdana"/>
          <w:b/>
          <w:color w:val="EE0000"/>
          <w:sz w:val="20"/>
          <w:szCs w:val="20"/>
        </w:rPr>
      </w:pPr>
      <w:bookmarkStart w:id="0" w:name="_jwj01sglzc2w"/>
      <w:bookmarkEnd w:id="0"/>
      <w:r w:rsidRPr="00203D46">
        <w:rPr>
          <w:rFonts w:ascii="Verdana" w:hAnsi="Verdana"/>
          <w:b/>
          <w:color w:val="EE0000"/>
          <w:sz w:val="20"/>
          <w:szCs w:val="20"/>
        </w:rPr>
        <w:t>Termin składania ofert do końca dnia 29.09.2026</w:t>
      </w:r>
    </w:p>
    <w:p w14:paraId="1073959F" w14:textId="7A3C0D3F" w:rsidR="00B530E2" w:rsidRPr="00B530E2" w:rsidRDefault="00B530E2" w:rsidP="00B530E2">
      <w:pPr>
        <w:pStyle w:val="normal1"/>
      </w:pPr>
      <w:hyperlink r:id="rId6" w:history="1">
        <w:r w:rsidRPr="00775EFD">
          <w:rPr>
            <w:rStyle w:val="Hipercze"/>
          </w:rPr>
          <w:t>zakupy@ipo.lukasiewicz.gov.pl</w:t>
        </w:r>
      </w:hyperlink>
      <w:r>
        <w:t xml:space="preserve"> </w:t>
      </w:r>
    </w:p>
    <w:p w14:paraId="74CB38C5" w14:textId="77777777" w:rsidR="00203D46" w:rsidRDefault="00203D46" w:rsidP="00203D46">
      <w:pPr>
        <w:pStyle w:val="normal1"/>
      </w:pPr>
    </w:p>
    <w:p w14:paraId="22F97CF9" w14:textId="79A8B04F" w:rsidR="00203D46" w:rsidRPr="00203D46" w:rsidRDefault="00203D46" w:rsidP="00203D46">
      <w:pPr>
        <w:pStyle w:val="normal1"/>
      </w:pPr>
      <w:r w:rsidRPr="00203D46">
        <w:t>Przedmiotowe zapytanie służy Zamawiającemu do ustalenia szacunkowej wartości zamówienia przyszłego postępowania zakupowego. Przedstawienie wyceny w ramach przedmiotowego rozeznania rynku nie stanowi oferty w rozumieniu przepisów ustawy z dnia 23 kwietnia 1964 r.</w:t>
      </w:r>
    </w:p>
    <w:p w14:paraId="4ADD5BEF" w14:textId="77777777" w:rsidR="00203D46" w:rsidRPr="00203D46" w:rsidRDefault="00203D46" w:rsidP="00203D46">
      <w:pPr>
        <w:pStyle w:val="normal1"/>
      </w:pPr>
    </w:p>
    <w:p w14:paraId="7B89590D" w14:textId="77777777" w:rsidR="00203D46" w:rsidRPr="00203D46" w:rsidRDefault="00203D46" w:rsidP="00203D46">
      <w:pPr>
        <w:pStyle w:val="normal1"/>
      </w:pPr>
    </w:p>
    <w:p w14:paraId="7BB5A606" w14:textId="631A4F2D" w:rsidR="00DC0187" w:rsidRPr="004675BD" w:rsidRDefault="00884A0C">
      <w:pPr>
        <w:pStyle w:val="Nagwek1"/>
        <w:keepNext w:val="0"/>
        <w:keepLines w:val="0"/>
        <w:spacing w:before="0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 xml:space="preserve">OPIS PRZEDMIOTU ZAMÓWIENIA </w:t>
      </w:r>
    </w:p>
    <w:p w14:paraId="7BB5A607" w14:textId="77777777" w:rsidR="00DC0187" w:rsidRPr="00DF0BC9" w:rsidRDefault="00884A0C" w:rsidP="00DF0BC9">
      <w:pPr>
        <w:pStyle w:val="Nagwek2"/>
      </w:pPr>
      <w:bookmarkStart w:id="1" w:name="_7hj7hpyn0jc6"/>
      <w:bookmarkEnd w:id="1"/>
      <w:r w:rsidRPr="00DF0BC9">
        <w:t>1. Zakres i lokalizacja realizowanej usługi</w:t>
      </w:r>
    </w:p>
    <w:p w14:paraId="7BB5A608" w14:textId="51EA01B1" w:rsidR="00DC0187" w:rsidRPr="004675BD" w:rsidRDefault="00884A0C">
      <w:pPr>
        <w:pStyle w:val="normal1"/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Przedmiotem zamówienia jest dostawa, montaż, okablowanie, programowanie oraz wdrożenie zintegrowanego systemu Kontroli Dostępu (KD) i Rejestracji Czasu Pracy (RCP) w obiekcie Zamawiającego przy ul. Annopol 6 w Warszawie (wejście główne na teren Instytutu oraz budynki nr 1, 3, 5, 11).</w:t>
      </w:r>
    </w:p>
    <w:p w14:paraId="7BB5A609" w14:textId="77777777" w:rsidR="00DC0187" w:rsidRPr="004675BD" w:rsidRDefault="00884A0C">
      <w:pPr>
        <w:pStyle w:val="Nagwek3"/>
        <w:keepNext w:val="0"/>
        <w:keepLines w:val="0"/>
        <w:spacing w:before="0"/>
        <w:rPr>
          <w:rFonts w:ascii="Verdana" w:hAnsi="Verdana"/>
          <w:sz w:val="20"/>
          <w:szCs w:val="20"/>
        </w:rPr>
      </w:pPr>
      <w:bookmarkStart w:id="2" w:name="_jfg4wxwdtrs0"/>
      <w:bookmarkEnd w:id="2"/>
      <w:r w:rsidRPr="004675BD">
        <w:rPr>
          <w:rFonts w:ascii="Verdana" w:hAnsi="Verdana"/>
          <w:b/>
          <w:color w:val="000000"/>
          <w:sz w:val="20"/>
          <w:szCs w:val="20"/>
        </w:rPr>
        <w:t>Struktura punktów kontrolnych i wejściowych:</w:t>
      </w:r>
    </w:p>
    <w:p w14:paraId="7BB5A60A" w14:textId="77777777" w:rsidR="00DC0187" w:rsidRPr="004675BD" w:rsidRDefault="00884A0C">
      <w:pPr>
        <w:pStyle w:val="normal1"/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Ostateczna i szczegółowa lokalizacja poszczególnych elementów systemu, czytników oraz tras kablowych zostanie ustalona w oparciu o obowiązkową wizję lokalną, którą przedstawiciel Wykonawcy odbędzie na obiekcie wspólnie z przedstawicielami Zamawiającego przed przystąpieniem do prac. Wstępne założenia obejmują:</w:t>
      </w:r>
    </w:p>
    <w:p w14:paraId="7BB5A60B" w14:textId="77777777" w:rsidR="00DC0187" w:rsidRPr="004675BD" w:rsidRDefault="00884A0C">
      <w:pPr>
        <w:pStyle w:val="normal1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Wejście główne na teren IPO (od ul. Annopol):</w:t>
      </w:r>
    </w:p>
    <w:p w14:paraId="7BB5A60C" w14:textId="77777777" w:rsidR="00DC0187" w:rsidRPr="004675BD" w:rsidRDefault="00884A0C">
      <w:pPr>
        <w:pStyle w:val="normal1"/>
        <w:numPr>
          <w:ilvl w:val="1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Wjazd dla pojazdów:</w:t>
      </w:r>
      <w:r w:rsidRPr="004675BD">
        <w:rPr>
          <w:rFonts w:ascii="Verdana" w:hAnsi="Verdana"/>
          <w:sz w:val="20"/>
          <w:szCs w:val="20"/>
        </w:rPr>
        <w:t xml:space="preserve"> dwustronny punkt kontroli dostępu sterujący szlabanem (wjazd/wyjazd) – w tym wymiana istniejącego ramienia szlabanu na ramię łamane (przegubowe) lub równoważne w funkcjonalności, dobrane wymiarowo tak, aby zapewniało pełne i skuteczne przesłonięcie całej szerokości przejazdu. </w:t>
      </w:r>
    </w:p>
    <w:p w14:paraId="7BB5A60D" w14:textId="77777777" w:rsidR="00DC0187" w:rsidRPr="004675BD" w:rsidRDefault="00884A0C">
      <w:pPr>
        <w:pStyle w:val="normal1"/>
        <w:numPr>
          <w:ilvl w:val="1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Wejście piesze główne:</w:t>
      </w:r>
      <w:r w:rsidRPr="004675BD">
        <w:rPr>
          <w:rFonts w:ascii="Verdana" w:hAnsi="Verdana"/>
          <w:sz w:val="20"/>
          <w:szCs w:val="20"/>
        </w:rPr>
        <w:t xml:space="preserve"> dwustronny punkt kontroli dostępu oraz rejestracji czasu pracy (RCP) zintegrowany z bramką obrotową (trójnogiem) oraz przyległym przejściem uchylnym / furtką dedykowaną dla osób niepełnosprawnych i transportu gabarytowego.</w:t>
      </w:r>
    </w:p>
    <w:p w14:paraId="7BB5A60E" w14:textId="77777777" w:rsidR="00DC0187" w:rsidRPr="004675BD" w:rsidRDefault="00884A0C">
      <w:pPr>
        <w:pStyle w:val="normal1"/>
        <w:numPr>
          <w:ilvl w:val="0"/>
          <w:numId w:val="7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Wejścia do budynków:</w:t>
      </w:r>
      <w:r w:rsidRPr="004675BD">
        <w:rPr>
          <w:rFonts w:ascii="Verdana" w:hAnsi="Verdana"/>
          <w:sz w:val="20"/>
          <w:szCs w:val="20"/>
        </w:rPr>
        <w:t xml:space="preserve"> Punkty kontroli dostępu w budynkach nr 1, 3, 5 oraz 11 (wejścia/wyjścia wykonane zgodnie z wymogami bezpieczeństwa oraz przepisami ppoż. i BHP).</w:t>
      </w:r>
    </w:p>
    <w:p w14:paraId="7BB5A60F" w14:textId="77777777" w:rsidR="00DC0187" w:rsidRPr="004675BD" w:rsidRDefault="00884A0C">
      <w:pPr>
        <w:pStyle w:val="normal1"/>
        <w:numPr>
          <w:ilvl w:val="0"/>
          <w:numId w:val="7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Bezpieczeństwo i ewakuacja (PPOŻ):</w:t>
      </w:r>
      <w:r w:rsidRPr="004675BD">
        <w:rPr>
          <w:rFonts w:ascii="Verdana" w:hAnsi="Verdana"/>
          <w:sz w:val="20"/>
          <w:szCs w:val="20"/>
        </w:rPr>
        <w:t xml:space="preserve"> Wszystkie przejścia objęte kontrolą dostępu muszą spełniać wymogi przepisów ppoż. i BHP. Przejścia w budynkach i bramki wejściowe muszą posiadać możliwość integracji z sygnałem z centrali SAP (automatyczne otwarcie w przypadku alarmu pożarowego) oraz być wyposażone w natychmiastowe, awaryjne odblokowanie poprzez manualne przyciski ewakuacyjne zamontowane przy przejściach od strony ewakuacyjnej.</w:t>
      </w:r>
    </w:p>
    <w:p w14:paraId="7BB5A610" w14:textId="77777777" w:rsidR="00DC0187" w:rsidRPr="00DF0BC9" w:rsidRDefault="00884A0C" w:rsidP="00DF0BC9">
      <w:pPr>
        <w:pStyle w:val="Nagwek2"/>
      </w:pPr>
      <w:bookmarkStart w:id="3" w:name="_roepw5dcgb5h"/>
      <w:bookmarkEnd w:id="3"/>
      <w:r w:rsidRPr="00DF0BC9">
        <w:t>2. Wyposażenie, oprogramowanie i licencjonowanie</w:t>
      </w:r>
    </w:p>
    <w:p w14:paraId="7BB5A611" w14:textId="7397BCB1" w:rsidR="00DC0187" w:rsidRPr="004675BD" w:rsidRDefault="00884A0C">
      <w:pPr>
        <w:pStyle w:val="normal1"/>
        <w:numPr>
          <w:ilvl w:val="0"/>
          <w:numId w:val="8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Oprogramowanie zarządzające Kontrolą Dostępu (KD):</w:t>
      </w:r>
      <w:r w:rsidRPr="004675BD">
        <w:rPr>
          <w:rFonts w:ascii="Verdana" w:hAnsi="Verdana"/>
          <w:sz w:val="20"/>
          <w:szCs w:val="20"/>
        </w:rPr>
        <w:t xml:space="preserve"> Wymaga się dostarczenia oprogramowania Roger VISO v.2 (lub równoważnego) z licencją</w:t>
      </w:r>
      <w:r w:rsidR="00D87B49">
        <w:rPr>
          <w:rFonts w:ascii="Verdana" w:hAnsi="Verdana"/>
          <w:sz w:val="20"/>
          <w:szCs w:val="20"/>
        </w:rPr>
        <w:t xml:space="preserve"> wieczystą</w:t>
      </w:r>
      <w:r w:rsidRPr="004675BD">
        <w:rPr>
          <w:rFonts w:ascii="Verdana" w:hAnsi="Verdana"/>
          <w:sz w:val="20"/>
          <w:szCs w:val="20"/>
        </w:rPr>
        <w:t xml:space="preserve"> na co najmniej 3 stacje operatora (stanowiska robocze). Licencje muszą umożliwiać niezależną pracę, dodawanie i programowanie kart, zarządzanie uprawnieniami, administrację systemem oraz podgląd zdarzeń/osób przebywających na obiekcie na żywo (np. na stanowisku ochrony, w dziale IT i administracji).</w:t>
      </w:r>
    </w:p>
    <w:p w14:paraId="7BB5A612" w14:textId="198FC025" w:rsidR="00DC0187" w:rsidRPr="004675BD" w:rsidRDefault="00884A0C">
      <w:pPr>
        <w:pStyle w:val="normal1"/>
        <w:numPr>
          <w:ilvl w:val="0"/>
          <w:numId w:val="8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lastRenderedPageBreak/>
        <w:t>Oprogramowanie do Rejestracji Czasu Pracy (RCP):</w:t>
      </w:r>
      <w:r w:rsidRPr="004675BD">
        <w:rPr>
          <w:rFonts w:ascii="Verdana" w:hAnsi="Verdana"/>
          <w:sz w:val="20"/>
          <w:szCs w:val="20"/>
        </w:rPr>
        <w:t xml:space="preserve"> Wymaga się dostarczenia oprogramowania Roger RCP Master 4 (lub równoważnego) z licencją </w:t>
      </w:r>
      <w:r w:rsidR="00D87B49">
        <w:rPr>
          <w:rFonts w:ascii="Verdana" w:hAnsi="Verdana"/>
          <w:sz w:val="20"/>
          <w:szCs w:val="20"/>
        </w:rPr>
        <w:t xml:space="preserve">wieczystą </w:t>
      </w:r>
      <w:r w:rsidRPr="004675BD">
        <w:rPr>
          <w:rFonts w:ascii="Verdana" w:hAnsi="Verdana"/>
          <w:sz w:val="20"/>
          <w:szCs w:val="20"/>
        </w:rPr>
        <w:t>na obsługę do 250 pracowników oraz co najmniej 3 stanowiska robocze. Oprogramowanie musi zapewniać Działowi Kadr i wyznaczonym pracownikom pełny wgląd w rejestry, naliczanie czasu pracy, obsługę wyjść służbowych i prywatnych, generowanie raportów oraz eksport danych.</w:t>
      </w:r>
    </w:p>
    <w:p w14:paraId="7BB5A613" w14:textId="77777777" w:rsidR="00DC0187" w:rsidRPr="004675BD" w:rsidRDefault="00884A0C">
      <w:pPr>
        <w:pStyle w:val="normal1"/>
        <w:numPr>
          <w:ilvl w:val="0"/>
          <w:numId w:val="8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Karty dostępu:</w:t>
      </w:r>
      <w:r w:rsidRPr="004675BD">
        <w:rPr>
          <w:rFonts w:ascii="Verdana" w:hAnsi="Verdana"/>
          <w:sz w:val="20"/>
          <w:szCs w:val="20"/>
        </w:rPr>
        <w:t xml:space="preserve"> Wykonawca dostarczy 250 sztuk fabrycznie nowych kart zbliżeniowych.</w:t>
      </w:r>
    </w:p>
    <w:p w14:paraId="7BB5A614" w14:textId="77777777" w:rsidR="00DC0187" w:rsidRPr="004675BD" w:rsidRDefault="00884A0C">
      <w:pPr>
        <w:pStyle w:val="normal1"/>
        <w:numPr>
          <w:ilvl w:val="0"/>
          <w:numId w:val="8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Szczegółowy wykaz urządzeń i cen cząstkowych:</w:t>
      </w:r>
      <w:r w:rsidRPr="004675BD">
        <w:rPr>
          <w:rFonts w:ascii="Verdana" w:hAnsi="Verdana"/>
          <w:sz w:val="20"/>
          <w:szCs w:val="20"/>
        </w:rPr>
        <w:t xml:space="preserve"> Wykonawca w przedstawionej ofercie zobowiązany jest do wyszczególnienia dokładnych typów i modeli wszystkich proponowanych urządzeń (w tym kontrolerów, czytników, licencji, serwera oraz osprzętu drzwiowego) wraz z podaniem ich cen jednostkowych (cząstkowych) i ilości.</w:t>
      </w:r>
    </w:p>
    <w:p w14:paraId="7BB5A615" w14:textId="77777777" w:rsidR="00DC0187" w:rsidRPr="004675BD" w:rsidRDefault="00884A0C">
      <w:pPr>
        <w:pStyle w:val="normal1"/>
        <w:numPr>
          <w:ilvl w:val="0"/>
          <w:numId w:val="8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Tryb autonomiczny i pamięć kontrolerów:</w:t>
      </w:r>
      <w:r w:rsidRPr="004675BD">
        <w:rPr>
          <w:rFonts w:ascii="Verdana" w:hAnsi="Verdana"/>
          <w:sz w:val="20"/>
          <w:szCs w:val="20"/>
        </w:rPr>
        <w:t xml:space="preserve"> Wszystkie dostarczone kontrolery dostępu muszą posiadać własną pamięć buforową oraz podtrzymanie bateryjne zegara RTC, umożliwiające pełną pracę w trybie off-</w:t>
      </w:r>
      <w:proofErr w:type="spellStart"/>
      <w:r w:rsidRPr="004675BD">
        <w:rPr>
          <w:rFonts w:ascii="Verdana" w:hAnsi="Verdana"/>
          <w:sz w:val="20"/>
          <w:szCs w:val="20"/>
        </w:rPr>
        <w:t>line</w:t>
      </w:r>
      <w:proofErr w:type="spellEnd"/>
      <w:r w:rsidRPr="004675BD">
        <w:rPr>
          <w:rFonts w:ascii="Verdana" w:hAnsi="Verdana"/>
          <w:sz w:val="20"/>
          <w:szCs w:val="20"/>
        </w:rPr>
        <w:t xml:space="preserve"> (autonomicznym) na przypadek awarii sieci LAN lub serwera. Po przywróceniu połączenia z serwerem kontrolery muszą automatycznie zsynchronizować zebrane zdarzenia z bazą danych.</w:t>
      </w:r>
    </w:p>
    <w:p w14:paraId="7BB5A616" w14:textId="77777777" w:rsidR="00DC0187" w:rsidRPr="00DF0BC9" w:rsidRDefault="00884A0C" w:rsidP="00DF0BC9">
      <w:pPr>
        <w:pStyle w:val="Nagwek2"/>
      </w:pPr>
      <w:bookmarkStart w:id="4" w:name="_ddmu7imvob9z"/>
      <w:bookmarkEnd w:id="4"/>
      <w:r w:rsidRPr="00DF0BC9">
        <w:t>3. Wytyczne dotyczące okablowania i architektury sieciowej (VLAN)</w:t>
      </w:r>
    </w:p>
    <w:p w14:paraId="7BB5A617" w14:textId="77777777" w:rsidR="00DC0187" w:rsidRPr="004675BD" w:rsidRDefault="00884A0C">
      <w:pPr>
        <w:pStyle w:val="normal1"/>
        <w:numPr>
          <w:ilvl w:val="0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Standard okablowania:</w:t>
      </w:r>
      <w:r w:rsidRPr="004675BD">
        <w:rPr>
          <w:rFonts w:ascii="Verdana" w:hAnsi="Verdana"/>
          <w:sz w:val="20"/>
          <w:szCs w:val="20"/>
        </w:rPr>
        <w:t xml:space="preserve"> Wszystkie przewody sygnałowe i sieciowe łączące czytniki, kontrolery oraz urządzenia peryferyjne muszą spełniać standard kategorii min. 5e (miedziane UTP/FTP).</w:t>
      </w:r>
    </w:p>
    <w:p w14:paraId="7BB5A618" w14:textId="77777777" w:rsidR="00DC0187" w:rsidRPr="004675BD" w:rsidRDefault="00884A0C">
      <w:pPr>
        <w:pStyle w:val="normal1"/>
        <w:numPr>
          <w:ilvl w:val="0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Trasy kablowe:</w:t>
      </w:r>
      <w:r w:rsidRPr="004675BD">
        <w:rPr>
          <w:rFonts w:ascii="Verdana" w:hAnsi="Verdana"/>
          <w:sz w:val="20"/>
          <w:szCs w:val="20"/>
        </w:rPr>
        <w:t xml:space="preserve"> Przewody będą prowadzone częściowo z wykorzystaniem istniejących ciągów i tras kablowych Instytutu, a częściowo poprzez wykonanie nowych odcinków łączących punkty kontrolne z najbliższymi szafami dystrybucyjnymi (RACK ze </w:t>
      </w:r>
      <w:proofErr w:type="spellStart"/>
      <w:r w:rsidRPr="004675BD">
        <w:rPr>
          <w:rFonts w:ascii="Verdana" w:hAnsi="Verdana"/>
          <w:sz w:val="20"/>
          <w:szCs w:val="20"/>
        </w:rPr>
        <w:t>switchami</w:t>
      </w:r>
      <w:proofErr w:type="spellEnd"/>
      <w:r w:rsidRPr="004675BD">
        <w:rPr>
          <w:rFonts w:ascii="Verdana" w:hAnsi="Verdana"/>
          <w:sz w:val="20"/>
          <w:szCs w:val="20"/>
        </w:rPr>
        <w:t xml:space="preserve"> LAN).</w:t>
      </w:r>
    </w:p>
    <w:p w14:paraId="7BB5A619" w14:textId="77777777" w:rsidR="00DC0187" w:rsidRPr="004675BD" w:rsidRDefault="00884A0C">
      <w:pPr>
        <w:pStyle w:val="normal1"/>
        <w:numPr>
          <w:ilvl w:val="0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Estetyka i standardy wykonania prac:</w:t>
      </w:r>
      <w:r w:rsidRPr="004675BD">
        <w:rPr>
          <w:rFonts w:ascii="Verdana" w:hAnsi="Verdana"/>
          <w:sz w:val="20"/>
          <w:szCs w:val="20"/>
        </w:rPr>
        <w:t xml:space="preserve"> Nowe trasy kablowe muszą być prowadzone w sposób estetyczny, w dedykowanych korytach PCV lub rurach osłonowych dobranych do otoczenia. Wszelkie przepusty kablowe przez ściany i stropy (w tym granice stref pożarowych) Wykonawca zobowiązany jest odpowiednio uszczelnić zgodnie z wymogami ppoż.</w:t>
      </w:r>
    </w:p>
    <w:p w14:paraId="7BB5A61A" w14:textId="77777777" w:rsidR="00DC0187" w:rsidRPr="004675BD" w:rsidRDefault="00884A0C">
      <w:pPr>
        <w:pStyle w:val="normal1"/>
        <w:numPr>
          <w:ilvl w:val="0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Instalacja w pomieszczeniu ochrony:</w:t>
      </w:r>
      <w:r w:rsidRPr="004675BD">
        <w:rPr>
          <w:rFonts w:ascii="Verdana" w:hAnsi="Verdana"/>
          <w:sz w:val="20"/>
          <w:szCs w:val="20"/>
        </w:rPr>
        <w:t xml:space="preserve"> W ramach zadania Wykonawca wykona i uruchomi nową dedykowaną trasę kablową sieci LAN do pomieszczenia ochrony na potrzeby podłączenia znajdującego się tam komputera stanowiskowego.</w:t>
      </w:r>
    </w:p>
    <w:p w14:paraId="7BB5A61B" w14:textId="77777777" w:rsidR="00DC0187" w:rsidRPr="004675BD" w:rsidRDefault="00884A0C">
      <w:pPr>
        <w:pStyle w:val="normal1"/>
        <w:numPr>
          <w:ilvl w:val="0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Architektura sieciowa i podział na VLAN-y:</w:t>
      </w:r>
      <w:r w:rsidRPr="004675BD">
        <w:rPr>
          <w:rFonts w:ascii="Verdana" w:hAnsi="Verdana"/>
          <w:sz w:val="20"/>
          <w:szCs w:val="20"/>
        </w:rPr>
        <w:t xml:space="preserve"> System pracować będzie w wyizolowanej architekturze sieciowej z rozbiciem na trzy odrębne podsieci (VLAN):</w:t>
      </w:r>
    </w:p>
    <w:p w14:paraId="7BB5A61C" w14:textId="77777777" w:rsidR="00DC0187" w:rsidRPr="004675BD" w:rsidRDefault="00884A0C">
      <w:pPr>
        <w:pStyle w:val="normal1"/>
        <w:numPr>
          <w:ilvl w:val="1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VLAN Serwerowy (dla serwera bazodanowego i aplikacji KD/RCP),</w:t>
      </w:r>
    </w:p>
    <w:p w14:paraId="7BB5A61D" w14:textId="77777777" w:rsidR="00DC0187" w:rsidRPr="004675BD" w:rsidRDefault="00884A0C">
      <w:pPr>
        <w:pStyle w:val="normal1"/>
        <w:numPr>
          <w:ilvl w:val="1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VLAN Urządzeń (dedykowany dla kontrolerów i czytników sieciowych),</w:t>
      </w:r>
    </w:p>
    <w:p w14:paraId="7BB5A61E" w14:textId="77777777" w:rsidR="00DC0187" w:rsidRPr="004675BD" w:rsidRDefault="00884A0C">
      <w:pPr>
        <w:pStyle w:val="normal1"/>
        <w:numPr>
          <w:ilvl w:val="1"/>
          <w:numId w:val="9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VLAN Klientów/Komputerów (dla stacji roboczych operatorów: Kadry, Ochrona, IT).</w:t>
      </w:r>
    </w:p>
    <w:p w14:paraId="7BB5A61F" w14:textId="77777777" w:rsidR="00DC0187" w:rsidRPr="004675BD" w:rsidRDefault="00884A0C">
      <w:pPr>
        <w:pStyle w:val="normal1"/>
        <w:numPr>
          <w:ilvl w:val="0"/>
          <w:numId w:val="9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Wymagania dotyczące reguł sieciowych i portów:</w:t>
      </w:r>
      <w:r w:rsidRPr="004675BD">
        <w:rPr>
          <w:rFonts w:ascii="Verdana" w:hAnsi="Verdana"/>
          <w:sz w:val="20"/>
          <w:szCs w:val="20"/>
        </w:rPr>
        <w:t xml:space="preserve"> Wykonawca przed przystąpieniem do wdrożenia dostarczy szczegółową specyfikację opisującą wykaz wszystkich portów sieciowych (TCP/UDP) oraz protokołów wymaganych do poprawnej komunikacji pomiędzy poszczególnymi strefami VLAN (Serwer – Urządzenia oraz Serwer – Komputery Klientów).</w:t>
      </w:r>
    </w:p>
    <w:p w14:paraId="7BB5A620" w14:textId="77777777" w:rsidR="00DC0187" w:rsidRPr="00DF0BC9" w:rsidRDefault="00884A0C" w:rsidP="00DF0BC9">
      <w:pPr>
        <w:pStyle w:val="Nagwek2"/>
      </w:pPr>
      <w:bookmarkStart w:id="5" w:name="_pbrn8ff4li6o"/>
      <w:bookmarkEnd w:id="5"/>
      <w:r w:rsidRPr="00DF0BC9">
        <w:t>4. Wymagania dotyczące serwera, środowiska IT oraz kopii zapasowych</w:t>
      </w:r>
    </w:p>
    <w:p w14:paraId="7BB5A621" w14:textId="77777777" w:rsidR="00DC0187" w:rsidRPr="004675BD" w:rsidRDefault="00884A0C">
      <w:pPr>
        <w:pStyle w:val="Nagwek3"/>
        <w:keepNext w:val="0"/>
        <w:keepLines w:val="0"/>
        <w:spacing w:before="0"/>
        <w:rPr>
          <w:rFonts w:ascii="Verdana" w:hAnsi="Verdana"/>
          <w:sz w:val="20"/>
          <w:szCs w:val="20"/>
        </w:rPr>
      </w:pPr>
      <w:bookmarkStart w:id="6" w:name="_9k5xsnm12ez3"/>
      <w:bookmarkEnd w:id="6"/>
      <w:r w:rsidRPr="004675BD">
        <w:rPr>
          <w:rFonts w:ascii="Verdana" w:hAnsi="Verdana"/>
          <w:b/>
          <w:color w:val="000000"/>
          <w:sz w:val="20"/>
          <w:szCs w:val="20"/>
        </w:rPr>
        <w:t>A. Serwer i środowisko systemowe</w:t>
      </w:r>
    </w:p>
    <w:p w14:paraId="7BB5A622" w14:textId="77777777" w:rsidR="00DC0187" w:rsidRPr="004675BD" w:rsidRDefault="00884A0C">
      <w:pPr>
        <w:pStyle w:val="normal1"/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lastRenderedPageBreak/>
        <w:t>W celu wpięcia do domeny Active Directory Instytutu, Wykonawca dostarczy serwer typu RACK 1U spełniający wymogi:</w:t>
      </w:r>
    </w:p>
    <w:p w14:paraId="7BB5A623" w14:textId="3602AD3A" w:rsidR="00DC0187" w:rsidRPr="004675BD" w:rsidRDefault="00884A0C">
      <w:pPr>
        <w:pStyle w:val="normal1"/>
        <w:numPr>
          <w:ilvl w:val="0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Wsparcie producenta:</w:t>
      </w:r>
      <w:r w:rsidRPr="004675BD">
        <w:rPr>
          <w:rFonts w:ascii="Verdana" w:hAnsi="Verdana"/>
          <w:sz w:val="20"/>
          <w:szCs w:val="20"/>
        </w:rPr>
        <w:t xml:space="preserve"> Serwer RACK 1U posiadający pełne, oficjalne wsparcie producenta sprzętu dla systemu Windows Server 2025 Standard</w:t>
      </w:r>
    </w:p>
    <w:p w14:paraId="0EFC6AF1" w14:textId="7E871C46" w:rsidR="00006DA6" w:rsidRPr="00006DA6" w:rsidRDefault="00884A0C" w:rsidP="0099631C">
      <w:pPr>
        <w:pStyle w:val="normal1"/>
        <w:numPr>
          <w:ilvl w:val="0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Wymagania dotyczące dysków twardych:</w:t>
      </w:r>
      <w:r w:rsidRPr="004675BD">
        <w:rPr>
          <w:rFonts w:ascii="Verdana" w:hAnsi="Verdana"/>
          <w:sz w:val="20"/>
          <w:szCs w:val="20"/>
        </w:rPr>
        <w:t xml:space="preserve"> </w:t>
      </w:r>
      <w:r w:rsidR="00006DA6">
        <w:rPr>
          <w:rFonts w:ascii="Verdana" w:hAnsi="Verdana"/>
          <w:sz w:val="20"/>
          <w:szCs w:val="20"/>
        </w:rPr>
        <w:br/>
      </w:r>
      <w:r w:rsidR="00006DA6" w:rsidRPr="00006DA6">
        <w:rPr>
          <w:rFonts w:ascii="Verdana" w:hAnsi="Verdana"/>
          <w:sz w:val="20"/>
          <w:szCs w:val="20"/>
        </w:rPr>
        <w:t>Wykonawca jest zobowiązany do wyposażenia serwera w fabrycznie nowe dyski klasy korporacyjnej (Enterprise / Datacenter), przeznaczone do pracy ciągłej 24/7/365, skonfigurowane w dwie niezależne macierze sprzętowe RAID 1 (lustrzane):</w:t>
      </w:r>
      <w:r w:rsidR="00006DA6">
        <w:rPr>
          <w:rFonts w:ascii="Verdana" w:hAnsi="Verdana"/>
          <w:sz w:val="20"/>
          <w:szCs w:val="20"/>
        </w:rPr>
        <w:br/>
      </w:r>
      <w:r w:rsidR="00006DA6" w:rsidRPr="00C2352C">
        <w:rPr>
          <w:rFonts w:ascii="Verdana" w:hAnsi="Verdana"/>
          <w:b/>
          <w:bCs/>
          <w:sz w:val="20"/>
          <w:szCs w:val="20"/>
        </w:rPr>
        <w:t xml:space="preserve">Zestaw nr 1 (Systemowy i Bazy Danych): </w:t>
      </w:r>
      <w:r w:rsidR="00006DA6" w:rsidRPr="00006DA6">
        <w:rPr>
          <w:rFonts w:ascii="Verdana" w:hAnsi="Verdana"/>
          <w:sz w:val="20"/>
          <w:szCs w:val="20"/>
        </w:rPr>
        <w:t>Składający się z minimum 2 dysków w konfiguracji RAID 1, oferujący pojemność użytkową minimum 500 GB. Przeznaczony na system operacyjny, oprogramowanie Roger (VISO v.2, RCP Master 4) oraz produkcyjną bazę danych MS SQL.</w:t>
      </w:r>
      <w:r w:rsidR="00006DA6">
        <w:rPr>
          <w:rFonts w:ascii="Verdana" w:hAnsi="Verdana"/>
          <w:sz w:val="20"/>
          <w:szCs w:val="20"/>
        </w:rPr>
        <w:br/>
      </w:r>
      <w:r w:rsidR="00006DA6" w:rsidRPr="00C2352C">
        <w:rPr>
          <w:rFonts w:ascii="Verdana" w:hAnsi="Verdana"/>
          <w:b/>
          <w:bCs/>
          <w:sz w:val="20"/>
          <w:szCs w:val="20"/>
        </w:rPr>
        <w:t>Zestaw nr 2 (Kopie Zapasowe / Backup):</w:t>
      </w:r>
      <w:r w:rsidR="00006DA6" w:rsidRPr="00006DA6">
        <w:rPr>
          <w:rFonts w:ascii="Verdana" w:hAnsi="Verdana"/>
          <w:sz w:val="20"/>
          <w:szCs w:val="20"/>
        </w:rPr>
        <w:t xml:space="preserve"> Składający się z minimum 2 dysków w konfiguracji RAID 1, oferujący pojemność użytkową minimum 2 TB. Przeznaczony wyłącznie na przechowywanie automatycznych kopii zapasowych baz danych oraz archiwów systemowych.</w:t>
      </w:r>
      <w:r w:rsidR="00006DA6">
        <w:rPr>
          <w:rFonts w:ascii="Verdana" w:hAnsi="Verdana"/>
          <w:sz w:val="20"/>
          <w:szCs w:val="20"/>
        </w:rPr>
        <w:t xml:space="preserve"> </w:t>
      </w:r>
      <w:r w:rsidR="00D746C7">
        <w:rPr>
          <w:rFonts w:ascii="Verdana" w:hAnsi="Verdana"/>
          <w:sz w:val="20"/>
          <w:szCs w:val="20"/>
        </w:rPr>
        <w:br/>
      </w:r>
      <w:r w:rsidR="00D746C7">
        <w:rPr>
          <w:rFonts w:ascii="Verdana" w:hAnsi="Verdana"/>
          <w:sz w:val="20"/>
          <w:szCs w:val="20"/>
        </w:rPr>
        <w:br/>
      </w:r>
      <w:r w:rsidR="00006DA6" w:rsidRPr="00006DA6">
        <w:rPr>
          <w:rFonts w:ascii="Verdana" w:hAnsi="Verdana"/>
          <w:sz w:val="20"/>
          <w:szCs w:val="20"/>
        </w:rPr>
        <w:t xml:space="preserve">Zastosowanie dysków klasy konsumenckiej lub typu Desktop jest niedopuszczalne. </w:t>
      </w:r>
    </w:p>
    <w:p w14:paraId="7BB5A625" w14:textId="77777777" w:rsidR="00DC0187" w:rsidRPr="004675BD" w:rsidRDefault="00884A0C">
      <w:pPr>
        <w:pStyle w:val="normal1"/>
        <w:numPr>
          <w:ilvl w:val="0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Licencjonowanie i własność licencji:</w:t>
      </w:r>
      <w:r w:rsidRPr="004675BD">
        <w:rPr>
          <w:rFonts w:ascii="Verdana" w:hAnsi="Verdana"/>
          <w:sz w:val="20"/>
          <w:szCs w:val="20"/>
        </w:rPr>
        <w:t xml:space="preserve"> W cenie oferty należy ująć:</w:t>
      </w:r>
    </w:p>
    <w:p w14:paraId="7BB5A626" w14:textId="456F7C04" w:rsidR="00DC0187" w:rsidRPr="004675BD" w:rsidRDefault="00884A0C">
      <w:pPr>
        <w:pStyle w:val="normal1"/>
        <w:numPr>
          <w:ilvl w:val="1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Licencję na system Windows Server 2025 Standard (64-bit)</w:t>
      </w:r>
      <w:r w:rsidR="00607F5D">
        <w:rPr>
          <w:rFonts w:ascii="Verdana" w:hAnsi="Verdana"/>
          <w:sz w:val="20"/>
          <w:szCs w:val="20"/>
        </w:rPr>
        <w:t xml:space="preserve"> lub równoważny</w:t>
      </w:r>
      <w:r w:rsidRPr="004675BD">
        <w:rPr>
          <w:rFonts w:ascii="Verdana" w:hAnsi="Verdana"/>
          <w:sz w:val="20"/>
          <w:szCs w:val="20"/>
        </w:rPr>
        <w:t>.</w:t>
      </w:r>
      <w:r w:rsidR="00625469">
        <w:rPr>
          <w:rFonts w:ascii="Verdana" w:hAnsi="Verdana"/>
          <w:sz w:val="20"/>
          <w:szCs w:val="20"/>
        </w:rPr>
        <w:t xml:space="preserve"> </w:t>
      </w:r>
      <w:r w:rsidR="00625469" w:rsidRPr="00625469">
        <w:rPr>
          <w:rFonts w:ascii="Verdana" w:hAnsi="Verdana"/>
          <w:sz w:val="20"/>
          <w:szCs w:val="20"/>
        </w:rPr>
        <w:t xml:space="preserve">Licencja musi zostać w pełni dobrana i dostosowana do specyfikacji sprzętowej oferowanego serwera (obejmować odpowiednią, pełną liczbę licencji rdzeniowych – </w:t>
      </w:r>
      <w:proofErr w:type="spellStart"/>
      <w:r w:rsidR="00625469" w:rsidRPr="00625469">
        <w:rPr>
          <w:rFonts w:ascii="Verdana" w:hAnsi="Verdana"/>
          <w:sz w:val="20"/>
          <w:szCs w:val="20"/>
        </w:rPr>
        <w:t>Core</w:t>
      </w:r>
      <w:proofErr w:type="spellEnd"/>
      <w:r w:rsidR="00625469" w:rsidRPr="00625469">
        <w:rPr>
          <w:rFonts w:ascii="Verdana" w:hAnsi="Verdana"/>
          <w:sz w:val="20"/>
          <w:szCs w:val="20"/>
        </w:rPr>
        <w:t xml:space="preserve"> </w:t>
      </w:r>
      <w:proofErr w:type="spellStart"/>
      <w:r w:rsidR="00625469" w:rsidRPr="00625469">
        <w:rPr>
          <w:rFonts w:ascii="Verdana" w:hAnsi="Verdana"/>
          <w:sz w:val="20"/>
          <w:szCs w:val="20"/>
        </w:rPr>
        <w:t>Licenses</w:t>
      </w:r>
      <w:proofErr w:type="spellEnd"/>
      <w:r w:rsidR="00625469" w:rsidRPr="00625469">
        <w:rPr>
          <w:rFonts w:ascii="Verdana" w:hAnsi="Verdana"/>
          <w:sz w:val="20"/>
          <w:szCs w:val="20"/>
        </w:rPr>
        <w:t xml:space="preserve"> – wymaganych dla wszystkich fizycznych rdzeni procesorów zainstalowanych w serwerze, zgodnie z zasadami licencjonowania firmy Microsoft).</w:t>
      </w:r>
    </w:p>
    <w:p w14:paraId="7BB5A627" w14:textId="325CDED1" w:rsidR="00DC0187" w:rsidRPr="004675BD" w:rsidRDefault="00884A0C">
      <w:pPr>
        <w:pStyle w:val="normal1"/>
        <w:numPr>
          <w:ilvl w:val="1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Dokładnie 3 licencje dostępowe Windows Server CAL (User CAL lub Device CAL)</w:t>
      </w:r>
      <w:r w:rsidR="00004B94">
        <w:rPr>
          <w:rFonts w:ascii="Verdana" w:hAnsi="Verdana"/>
          <w:sz w:val="20"/>
          <w:szCs w:val="20"/>
        </w:rPr>
        <w:t xml:space="preserve"> lub równoważny</w:t>
      </w:r>
      <w:r w:rsidRPr="004675BD">
        <w:rPr>
          <w:rFonts w:ascii="Verdana" w:hAnsi="Verdana"/>
          <w:sz w:val="20"/>
          <w:szCs w:val="20"/>
        </w:rPr>
        <w:t>, odpowiadające liczbie 3 stanowisk roboczych operatorów systemu.</w:t>
      </w:r>
    </w:p>
    <w:p w14:paraId="7BB5A628" w14:textId="77777777" w:rsidR="00DC0187" w:rsidRPr="004675BD" w:rsidRDefault="00884A0C">
      <w:pPr>
        <w:pStyle w:val="normal1"/>
        <w:numPr>
          <w:ilvl w:val="1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Odpowiednią licencję silnika bazy danych MS SQL wymaganą do obsługi baz VISO i RCP Master 4 (w tym licencje SQL CAL, jeśli są wymagane przez zaoferowaną wersję).</w:t>
      </w:r>
    </w:p>
    <w:p w14:paraId="7BB5A629" w14:textId="77777777" w:rsidR="00DC0187" w:rsidRPr="004675BD" w:rsidRDefault="00884A0C">
      <w:pPr>
        <w:pStyle w:val="normal1"/>
        <w:numPr>
          <w:ilvl w:val="1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Wszystkie dostarczone licencje (zarówno Microsoft, jak i oprogramowania dedykowanego Roger KD/RCP) muszą zostać zarejestrowane bezpośrednio na Zamawiającego (Sieć Badawcza Łukasiewicz – Instytut Przemysłu Organicznego) jako wyłącznego użytkownika końcowego (End User), wraz z przekazaniem kompletnych certyfikatów, kluczy oraz dostępów administracyjnych.</w:t>
      </w:r>
    </w:p>
    <w:p w14:paraId="7BB5A62A" w14:textId="2B98C65D" w:rsidR="00DC0187" w:rsidRPr="004675BD" w:rsidRDefault="00884A0C">
      <w:pPr>
        <w:pStyle w:val="normal1"/>
        <w:numPr>
          <w:ilvl w:val="0"/>
          <w:numId w:val="10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 xml:space="preserve">Gwarancja </w:t>
      </w:r>
      <w:r w:rsidR="00766A3E">
        <w:rPr>
          <w:rFonts w:ascii="Verdana" w:hAnsi="Verdana"/>
          <w:b/>
          <w:sz w:val="20"/>
          <w:szCs w:val="20"/>
        </w:rPr>
        <w:t>on-</w:t>
      </w:r>
      <w:proofErr w:type="spellStart"/>
      <w:r w:rsidR="00766A3E">
        <w:rPr>
          <w:rFonts w:ascii="Verdana" w:hAnsi="Verdana"/>
          <w:b/>
          <w:sz w:val="20"/>
          <w:szCs w:val="20"/>
        </w:rPr>
        <w:t>site</w:t>
      </w:r>
      <w:proofErr w:type="spellEnd"/>
      <w:r w:rsidRPr="004675BD">
        <w:rPr>
          <w:rFonts w:ascii="Verdana" w:hAnsi="Verdana"/>
          <w:b/>
          <w:sz w:val="20"/>
          <w:szCs w:val="20"/>
        </w:rPr>
        <w:t>:</w:t>
      </w:r>
      <w:r w:rsidRPr="004675BD">
        <w:rPr>
          <w:rFonts w:ascii="Verdana" w:hAnsi="Verdana"/>
          <w:sz w:val="20"/>
          <w:szCs w:val="20"/>
        </w:rPr>
        <w:t xml:space="preserve"> Min. 24-miesięczna gwarancja w trybie </w:t>
      </w:r>
      <w:r w:rsidR="00766A3E">
        <w:rPr>
          <w:rFonts w:ascii="Verdana" w:hAnsi="Verdana"/>
          <w:sz w:val="20"/>
          <w:szCs w:val="20"/>
        </w:rPr>
        <w:t>on-</w:t>
      </w:r>
      <w:proofErr w:type="spellStart"/>
      <w:r w:rsidR="00766A3E">
        <w:rPr>
          <w:rFonts w:ascii="Verdana" w:hAnsi="Verdana"/>
          <w:sz w:val="20"/>
          <w:szCs w:val="20"/>
        </w:rPr>
        <w:t>site</w:t>
      </w:r>
      <w:proofErr w:type="spellEnd"/>
      <w:r w:rsidRPr="004675BD">
        <w:rPr>
          <w:rFonts w:ascii="Verdana" w:hAnsi="Verdana"/>
          <w:sz w:val="20"/>
          <w:szCs w:val="20"/>
        </w:rPr>
        <w:t xml:space="preserve"> na miejscu u Zamawiającego. W warunkach gwarancji wymagany jest zapis, że w przypadku awarii dysku twardego uszkodzony nośnik nie podlega zwrotowi do serwisu/dostawcy i pozostaje w posiadaniu Instytutu (ze względów bezpieczeństwa danych i RODO).</w:t>
      </w:r>
    </w:p>
    <w:p w14:paraId="7BB5A62B" w14:textId="6BD13407" w:rsidR="00DC0187" w:rsidRPr="004675BD" w:rsidRDefault="00884A0C" w:rsidP="00766A3E">
      <w:pPr>
        <w:pStyle w:val="normal1"/>
        <w:numPr>
          <w:ilvl w:val="0"/>
          <w:numId w:val="16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Konfiguracja sprzętowa:</w:t>
      </w:r>
      <w:r w:rsidRPr="004675BD">
        <w:rPr>
          <w:rFonts w:ascii="Verdana" w:hAnsi="Verdana"/>
          <w:sz w:val="20"/>
          <w:szCs w:val="20"/>
        </w:rPr>
        <w:t xml:space="preserve"> </w:t>
      </w:r>
      <w:r w:rsidR="006B3650">
        <w:rPr>
          <w:rFonts w:ascii="Verdana" w:hAnsi="Verdana"/>
          <w:sz w:val="20"/>
          <w:szCs w:val="20"/>
        </w:rPr>
        <w:br/>
      </w:r>
      <w:r w:rsidR="006B3650" w:rsidRPr="00C2352C">
        <w:rPr>
          <w:rFonts w:ascii="Verdana" w:hAnsi="Verdana"/>
          <w:b/>
          <w:bCs/>
          <w:sz w:val="20"/>
          <w:szCs w:val="20"/>
        </w:rPr>
        <w:t>Procesor:</w:t>
      </w:r>
      <w:r w:rsidR="006B3650" w:rsidRPr="006B3650">
        <w:rPr>
          <w:rFonts w:ascii="Verdana" w:hAnsi="Verdana"/>
          <w:sz w:val="20"/>
          <w:szCs w:val="20"/>
        </w:rPr>
        <w:t xml:space="preserve"> Minimum jeden fizyczny procesor, dedykowany do rozwiązań serwerowych, posiadający minimum </w:t>
      </w:r>
      <w:r w:rsidR="00A83179">
        <w:rPr>
          <w:rFonts w:ascii="Verdana" w:hAnsi="Verdana"/>
          <w:sz w:val="20"/>
          <w:szCs w:val="20"/>
        </w:rPr>
        <w:t>4</w:t>
      </w:r>
      <w:r w:rsidR="006B3650" w:rsidRPr="006B3650">
        <w:rPr>
          <w:rFonts w:ascii="Verdana" w:hAnsi="Verdana"/>
          <w:sz w:val="20"/>
          <w:szCs w:val="20"/>
        </w:rPr>
        <w:t xml:space="preserve"> fizycznych rdzeni, którego architektura została wprowadzona do sprzedaży nie wcześniej niż w 202</w:t>
      </w:r>
      <w:r w:rsidR="00A83179">
        <w:rPr>
          <w:rFonts w:ascii="Verdana" w:hAnsi="Verdana"/>
          <w:sz w:val="20"/>
          <w:szCs w:val="20"/>
        </w:rPr>
        <w:t>3</w:t>
      </w:r>
      <w:r w:rsidR="006B3650" w:rsidRPr="006B3650">
        <w:rPr>
          <w:rFonts w:ascii="Verdana" w:hAnsi="Verdana"/>
          <w:sz w:val="20"/>
          <w:szCs w:val="20"/>
        </w:rPr>
        <w:t xml:space="preserve"> roku. Procesor musi osiągać wynik minimum 1</w:t>
      </w:r>
      <w:r w:rsidR="00A83179">
        <w:rPr>
          <w:rFonts w:ascii="Verdana" w:hAnsi="Verdana"/>
          <w:sz w:val="20"/>
          <w:szCs w:val="20"/>
        </w:rPr>
        <w:t>5</w:t>
      </w:r>
      <w:r w:rsidR="006B3650" w:rsidRPr="006B3650">
        <w:rPr>
          <w:rFonts w:ascii="Verdana" w:hAnsi="Verdana"/>
          <w:sz w:val="20"/>
          <w:szCs w:val="20"/>
        </w:rPr>
        <w:t xml:space="preserve"> 000 punktów w ogólnodostępnym teście wydajności </w:t>
      </w:r>
      <w:proofErr w:type="spellStart"/>
      <w:r w:rsidR="006B3650" w:rsidRPr="006B3650">
        <w:rPr>
          <w:rFonts w:ascii="Verdana" w:hAnsi="Verdana"/>
          <w:sz w:val="20"/>
          <w:szCs w:val="20"/>
        </w:rPr>
        <w:t>PassMark</w:t>
      </w:r>
      <w:proofErr w:type="spellEnd"/>
      <w:r w:rsidR="006B3650" w:rsidRPr="006B3650">
        <w:rPr>
          <w:rFonts w:ascii="Verdana" w:hAnsi="Verdana"/>
          <w:sz w:val="20"/>
          <w:szCs w:val="20"/>
        </w:rPr>
        <w:t xml:space="preserve"> CPU Rating (według danych na stronie cpubenchmark.net).</w:t>
      </w:r>
      <w:r w:rsidR="006B3650">
        <w:rPr>
          <w:rFonts w:ascii="Verdana" w:hAnsi="Verdana"/>
          <w:sz w:val="20"/>
          <w:szCs w:val="20"/>
        </w:rPr>
        <w:br/>
      </w:r>
      <w:r w:rsidR="006B3650" w:rsidRPr="00C2352C">
        <w:rPr>
          <w:rFonts w:ascii="Verdana" w:hAnsi="Verdana"/>
          <w:b/>
          <w:bCs/>
          <w:sz w:val="20"/>
          <w:szCs w:val="20"/>
        </w:rPr>
        <w:t>Pamięć RAM:</w:t>
      </w:r>
      <w:r w:rsidR="006B3650" w:rsidRPr="006B3650">
        <w:rPr>
          <w:rFonts w:ascii="Verdana" w:hAnsi="Verdana"/>
          <w:sz w:val="20"/>
          <w:szCs w:val="20"/>
        </w:rPr>
        <w:t xml:space="preserve"> Minimum 16 GB RAM z technologią korekcji błędów ECC.</w:t>
      </w:r>
      <w:r w:rsidR="006B3650">
        <w:rPr>
          <w:rFonts w:ascii="Verdana" w:hAnsi="Verdana"/>
          <w:sz w:val="20"/>
          <w:szCs w:val="20"/>
        </w:rPr>
        <w:br/>
      </w:r>
      <w:r w:rsidR="006B3650" w:rsidRPr="00C2352C">
        <w:rPr>
          <w:rFonts w:ascii="Verdana" w:hAnsi="Verdana"/>
          <w:b/>
          <w:bCs/>
          <w:sz w:val="20"/>
          <w:szCs w:val="20"/>
        </w:rPr>
        <w:t>Zasilanie</w:t>
      </w:r>
      <w:r w:rsidR="006B3650" w:rsidRPr="006B3650">
        <w:rPr>
          <w:rFonts w:ascii="Verdana" w:hAnsi="Verdana"/>
          <w:sz w:val="20"/>
          <w:szCs w:val="20"/>
        </w:rPr>
        <w:t>: Redundantne zasilacze (minimum 2x PSU) pracujące w trybie hot-plug (wymiana podczas pracy serwera).</w:t>
      </w:r>
      <w:r w:rsidR="006B3650">
        <w:rPr>
          <w:rFonts w:ascii="Verdana" w:hAnsi="Verdana"/>
          <w:sz w:val="20"/>
          <w:szCs w:val="20"/>
        </w:rPr>
        <w:br/>
      </w:r>
      <w:r w:rsidR="006B3650" w:rsidRPr="00C2352C">
        <w:rPr>
          <w:rFonts w:ascii="Verdana" w:hAnsi="Verdana"/>
          <w:b/>
          <w:bCs/>
          <w:sz w:val="20"/>
          <w:szCs w:val="20"/>
        </w:rPr>
        <w:t>Zarządzanie</w:t>
      </w:r>
      <w:r w:rsidR="006B3650" w:rsidRPr="006B3650">
        <w:rPr>
          <w:rFonts w:ascii="Verdana" w:hAnsi="Verdana"/>
          <w:sz w:val="20"/>
          <w:szCs w:val="20"/>
        </w:rPr>
        <w:t xml:space="preserve">: Dedykowana, sprzętowa i niezależna karta zarządzająca typu out-of-band management (np. </w:t>
      </w:r>
      <w:proofErr w:type="spellStart"/>
      <w:r w:rsidR="006B3650" w:rsidRPr="006B3650">
        <w:rPr>
          <w:rFonts w:ascii="Verdana" w:hAnsi="Verdana"/>
          <w:sz w:val="20"/>
          <w:szCs w:val="20"/>
        </w:rPr>
        <w:t>iDRAC</w:t>
      </w:r>
      <w:proofErr w:type="spellEnd"/>
      <w:r w:rsidR="006B3650" w:rsidRPr="006B3650">
        <w:rPr>
          <w:rFonts w:ascii="Verdana" w:hAnsi="Verdana"/>
          <w:sz w:val="20"/>
          <w:szCs w:val="20"/>
        </w:rPr>
        <w:t xml:space="preserve"> / </w:t>
      </w:r>
      <w:proofErr w:type="spellStart"/>
      <w:r w:rsidR="006B3650" w:rsidRPr="006B3650">
        <w:rPr>
          <w:rFonts w:ascii="Verdana" w:hAnsi="Verdana"/>
          <w:sz w:val="20"/>
          <w:szCs w:val="20"/>
        </w:rPr>
        <w:t>iLO</w:t>
      </w:r>
      <w:proofErr w:type="spellEnd"/>
      <w:r w:rsidR="006B3650" w:rsidRPr="006B3650">
        <w:rPr>
          <w:rFonts w:ascii="Verdana" w:hAnsi="Verdana"/>
          <w:sz w:val="20"/>
          <w:szCs w:val="20"/>
        </w:rPr>
        <w:t xml:space="preserve"> lub równoważna) zapewniająca pełny dostęp administratorski, w tym funkcję zdalnej konsoli tekstowej i graficznej </w:t>
      </w:r>
      <w:r w:rsidR="006B3650" w:rsidRPr="006B3650">
        <w:rPr>
          <w:rFonts w:ascii="Verdana" w:hAnsi="Verdana"/>
          <w:sz w:val="20"/>
          <w:szCs w:val="20"/>
        </w:rPr>
        <w:lastRenderedPageBreak/>
        <w:t>(KVM HTML5)</w:t>
      </w:r>
      <w:r w:rsidR="00601EAA">
        <w:rPr>
          <w:rFonts w:ascii="Verdana" w:hAnsi="Verdana"/>
          <w:sz w:val="20"/>
          <w:szCs w:val="20"/>
        </w:rPr>
        <w:t>,</w:t>
      </w:r>
      <w:r w:rsidR="006B3650" w:rsidRPr="006B3650">
        <w:rPr>
          <w:rFonts w:ascii="Verdana" w:hAnsi="Verdana"/>
          <w:sz w:val="20"/>
          <w:szCs w:val="20"/>
        </w:rPr>
        <w:t>montowanie zdalnych nośników ISO</w:t>
      </w:r>
      <w:r w:rsidR="00601EAA">
        <w:rPr>
          <w:rFonts w:ascii="Verdana" w:hAnsi="Verdana"/>
          <w:sz w:val="20"/>
          <w:szCs w:val="20"/>
        </w:rPr>
        <w:t xml:space="preserve"> oraz system powiadomień o awariach</w:t>
      </w:r>
      <w:r w:rsidR="006B3650" w:rsidRPr="006B3650">
        <w:rPr>
          <w:rFonts w:ascii="Verdana" w:hAnsi="Verdana"/>
          <w:sz w:val="20"/>
          <w:szCs w:val="20"/>
        </w:rPr>
        <w:t>.</w:t>
      </w:r>
      <w:r w:rsidR="00243B98">
        <w:rPr>
          <w:rFonts w:ascii="Verdana" w:hAnsi="Verdana"/>
          <w:sz w:val="20"/>
          <w:szCs w:val="20"/>
        </w:rPr>
        <w:br/>
      </w:r>
      <w:r w:rsidR="00243B98" w:rsidRPr="00C2352C">
        <w:rPr>
          <w:rFonts w:ascii="Verdana" w:hAnsi="Verdana"/>
          <w:b/>
          <w:bCs/>
          <w:sz w:val="20"/>
          <w:szCs w:val="20"/>
        </w:rPr>
        <w:t>Sieć</w:t>
      </w:r>
      <w:r w:rsidR="00243B98" w:rsidRPr="00243B98">
        <w:rPr>
          <w:rFonts w:ascii="Verdana" w:hAnsi="Verdana"/>
          <w:sz w:val="20"/>
          <w:szCs w:val="20"/>
        </w:rPr>
        <w:t xml:space="preserve">: Minimum 2 zintegrowane lub dedykowane karty sieciowe Gigabit Ethernet (10/100/1000 </w:t>
      </w:r>
      <w:proofErr w:type="spellStart"/>
      <w:r w:rsidR="00243B98" w:rsidRPr="00243B98">
        <w:rPr>
          <w:rFonts w:ascii="Verdana" w:hAnsi="Verdana"/>
          <w:sz w:val="20"/>
          <w:szCs w:val="20"/>
        </w:rPr>
        <w:t>Mbps</w:t>
      </w:r>
      <w:proofErr w:type="spellEnd"/>
      <w:r w:rsidR="00243B98" w:rsidRPr="00243B98">
        <w:rPr>
          <w:rFonts w:ascii="Verdana" w:hAnsi="Verdana"/>
          <w:sz w:val="20"/>
          <w:szCs w:val="20"/>
        </w:rPr>
        <w:t>) ze złączem RJ-45.</w:t>
      </w:r>
      <w:r w:rsidR="00243B98">
        <w:rPr>
          <w:rFonts w:ascii="Verdana" w:hAnsi="Verdana"/>
          <w:sz w:val="20"/>
          <w:szCs w:val="20"/>
        </w:rPr>
        <w:br/>
      </w:r>
    </w:p>
    <w:p w14:paraId="7BB5A62C" w14:textId="77777777" w:rsidR="00DC0187" w:rsidRPr="004675BD" w:rsidRDefault="00884A0C">
      <w:pPr>
        <w:pStyle w:val="Nagwek3"/>
        <w:keepNext w:val="0"/>
        <w:keepLines w:val="0"/>
        <w:spacing w:before="0"/>
        <w:rPr>
          <w:rFonts w:ascii="Verdana" w:hAnsi="Verdana"/>
          <w:sz w:val="20"/>
          <w:szCs w:val="20"/>
        </w:rPr>
      </w:pPr>
      <w:bookmarkStart w:id="7" w:name="_i7xdjpnw8pg9"/>
      <w:bookmarkEnd w:id="7"/>
      <w:r w:rsidRPr="004675BD">
        <w:rPr>
          <w:rFonts w:ascii="Verdana" w:hAnsi="Verdana"/>
          <w:b/>
          <w:color w:val="000000"/>
          <w:sz w:val="20"/>
          <w:szCs w:val="20"/>
        </w:rPr>
        <w:t>B. Konfiguracja RAID i automatyzacja backupu</w:t>
      </w:r>
    </w:p>
    <w:p w14:paraId="0738AA0F" w14:textId="56CACDC0" w:rsidR="00794F50" w:rsidRPr="00794F50" w:rsidRDefault="00794F50" w:rsidP="00794F50">
      <w:pPr>
        <w:pStyle w:val="Akapitzlist"/>
        <w:numPr>
          <w:ilvl w:val="0"/>
          <w:numId w:val="16"/>
        </w:numPr>
        <w:spacing w:line="240" w:lineRule="auto"/>
        <w:rPr>
          <w:rFonts w:ascii="Verdana" w:hAnsi="Verdana"/>
          <w:bCs/>
          <w:sz w:val="20"/>
        </w:rPr>
      </w:pPr>
      <w:r w:rsidRPr="00C412AB">
        <w:rPr>
          <w:rFonts w:ascii="Verdana" w:hAnsi="Verdana"/>
          <w:b/>
          <w:sz w:val="20"/>
        </w:rPr>
        <w:t>Macierze RAID</w:t>
      </w:r>
      <w:r w:rsidRPr="00794F50">
        <w:rPr>
          <w:rFonts w:ascii="Verdana" w:hAnsi="Verdana"/>
          <w:bCs/>
          <w:sz w:val="20"/>
        </w:rPr>
        <w:t>: Konfiguracja serwera musi obejmować uruchomienie dwóch niezależnych, sprzętowych macierzy RAID 1 zgodnie z wymaganiami sprzętowymi (Zestaw nr 1 i Zestaw nr 2), chroniących system oraz kopie zapasowe przed awarią fizyczną nośników.</w:t>
      </w:r>
    </w:p>
    <w:p w14:paraId="23E0C915" w14:textId="036D06F2" w:rsidR="00794F50" w:rsidRPr="00794F50" w:rsidRDefault="00794F50" w:rsidP="00794F50">
      <w:pPr>
        <w:pStyle w:val="Akapitzlist"/>
        <w:numPr>
          <w:ilvl w:val="0"/>
          <w:numId w:val="16"/>
        </w:numPr>
        <w:spacing w:line="240" w:lineRule="auto"/>
        <w:rPr>
          <w:rFonts w:ascii="Verdana" w:hAnsi="Verdana"/>
          <w:bCs/>
          <w:sz w:val="20"/>
        </w:rPr>
      </w:pPr>
      <w:r w:rsidRPr="00C412AB">
        <w:rPr>
          <w:rFonts w:ascii="Verdana" w:hAnsi="Verdana"/>
          <w:b/>
          <w:sz w:val="20"/>
        </w:rPr>
        <w:t>Automatyzacja backupu</w:t>
      </w:r>
      <w:r w:rsidRPr="00794F50">
        <w:rPr>
          <w:rFonts w:ascii="Verdana" w:hAnsi="Verdana"/>
          <w:bCs/>
          <w:sz w:val="20"/>
        </w:rPr>
        <w:t>: Wykonawca jest zobowiązany do skonfigurowania i przetestowania w pełni automatycznego harmonogramu kopii zapasowych, który obejmuje:</w:t>
      </w:r>
    </w:p>
    <w:p w14:paraId="018EF6FC" w14:textId="77777777" w:rsidR="00794F50" w:rsidRPr="00794F50" w:rsidRDefault="00794F50" w:rsidP="00794F50">
      <w:pPr>
        <w:numPr>
          <w:ilvl w:val="0"/>
          <w:numId w:val="17"/>
        </w:numPr>
        <w:spacing w:line="240" w:lineRule="auto"/>
        <w:rPr>
          <w:rFonts w:ascii="Verdana" w:hAnsi="Verdana"/>
          <w:bCs/>
          <w:sz w:val="20"/>
          <w:szCs w:val="20"/>
        </w:rPr>
      </w:pPr>
      <w:r w:rsidRPr="00794F50">
        <w:rPr>
          <w:rFonts w:ascii="Verdana" w:hAnsi="Verdana"/>
          <w:bCs/>
          <w:sz w:val="20"/>
          <w:szCs w:val="20"/>
        </w:rPr>
        <w:t>Codzienny (wykonywany raz na dobę) pełny zrzut bazy danych MS SQL dla systemów VISO oraz RCP Master 4.</w:t>
      </w:r>
    </w:p>
    <w:p w14:paraId="64A5D88B" w14:textId="77777777" w:rsidR="00794F50" w:rsidRPr="00794F50" w:rsidRDefault="00794F50" w:rsidP="00794F50">
      <w:pPr>
        <w:numPr>
          <w:ilvl w:val="0"/>
          <w:numId w:val="17"/>
        </w:numPr>
        <w:spacing w:line="240" w:lineRule="auto"/>
        <w:rPr>
          <w:rFonts w:ascii="Verdana" w:hAnsi="Verdana"/>
          <w:bCs/>
          <w:sz w:val="20"/>
          <w:szCs w:val="20"/>
        </w:rPr>
      </w:pPr>
      <w:r w:rsidRPr="00794F50">
        <w:rPr>
          <w:rFonts w:ascii="Verdana" w:hAnsi="Verdana"/>
          <w:bCs/>
          <w:sz w:val="20"/>
          <w:szCs w:val="20"/>
        </w:rPr>
        <w:t>Codzienny backup plików konfiguracyjnych i certyfikatów z katalogów instalacyjnych oprogramowania Roger, niezbędnych do pełnego odtworzenia środowiska po awarii.</w:t>
      </w:r>
    </w:p>
    <w:p w14:paraId="497132C6" w14:textId="77777777" w:rsidR="00794F50" w:rsidRPr="00794F50" w:rsidRDefault="00794F50" w:rsidP="00794F50">
      <w:pPr>
        <w:numPr>
          <w:ilvl w:val="0"/>
          <w:numId w:val="17"/>
        </w:numPr>
        <w:spacing w:line="240" w:lineRule="auto"/>
        <w:rPr>
          <w:rFonts w:ascii="Verdana" w:hAnsi="Verdana"/>
          <w:bCs/>
          <w:sz w:val="20"/>
          <w:szCs w:val="20"/>
        </w:rPr>
      </w:pPr>
      <w:r w:rsidRPr="00794F50">
        <w:rPr>
          <w:rFonts w:ascii="Verdana" w:hAnsi="Verdana"/>
          <w:bCs/>
          <w:sz w:val="20"/>
          <w:szCs w:val="20"/>
        </w:rPr>
        <w:t>Zapisywanie kopii zapasowych bezpośrednio na dedykowaną, osobną macierz dyskową (Zestaw nr 2 - Backup) wraz z mechanizmem automatycznej rotacji i usuwania kopii starszych niż 30 dni.</w:t>
      </w:r>
    </w:p>
    <w:p w14:paraId="6474A392" w14:textId="77777777" w:rsidR="00340808" w:rsidRDefault="00340808" w:rsidP="00340808">
      <w:pPr>
        <w:spacing w:line="240" w:lineRule="auto"/>
        <w:rPr>
          <w:rFonts w:ascii="Verdana" w:hAnsi="Verdana"/>
          <w:b/>
          <w:sz w:val="20"/>
          <w:szCs w:val="20"/>
        </w:rPr>
      </w:pPr>
    </w:p>
    <w:p w14:paraId="3C3B3DE5" w14:textId="77777777" w:rsidR="00340808" w:rsidRDefault="00340808" w:rsidP="00340808">
      <w:pPr>
        <w:spacing w:line="240" w:lineRule="auto"/>
        <w:rPr>
          <w:rFonts w:ascii="Verdana" w:hAnsi="Verdana"/>
          <w:b/>
          <w:sz w:val="20"/>
          <w:szCs w:val="20"/>
        </w:rPr>
      </w:pPr>
    </w:p>
    <w:p w14:paraId="7BB5A630" w14:textId="69B4129F" w:rsidR="00DC0187" w:rsidRPr="004675BD" w:rsidRDefault="00884A0C" w:rsidP="00DF0BC9">
      <w:pPr>
        <w:pStyle w:val="Nagwek2"/>
      </w:pPr>
      <w:r w:rsidRPr="004675BD">
        <w:t>5. Dokumentacja, procedury oraz zakres szkoleń</w:t>
      </w:r>
    </w:p>
    <w:p w14:paraId="7BB5A631" w14:textId="77777777" w:rsidR="00DC0187" w:rsidRPr="004675BD" w:rsidRDefault="00884A0C">
      <w:pPr>
        <w:pStyle w:val="Nagwek3"/>
        <w:keepNext w:val="0"/>
        <w:keepLines w:val="0"/>
        <w:spacing w:before="0"/>
        <w:rPr>
          <w:rFonts w:ascii="Verdana" w:hAnsi="Verdana"/>
          <w:sz w:val="20"/>
          <w:szCs w:val="20"/>
        </w:rPr>
      </w:pPr>
      <w:bookmarkStart w:id="8" w:name="_u0xr3t4ly2wd"/>
      <w:bookmarkEnd w:id="8"/>
      <w:r w:rsidRPr="004675BD">
        <w:rPr>
          <w:rFonts w:ascii="Verdana" w:hAnsi="Verdana"/>
          <w:b/>
          <w:color w:val="000000"/>
          <w:sz w:val="20"/>
          <w:szCs w:val="20"/>
        </w:rPr>
        <w:t>A. Dokumentacja i procedury</w:t>
      </w:r>
    </w:p>
    <w:p w14:paraId="7BB5A632" w14:textId="77777777" w:rsidR="00DC0187" w:rsidRPr="004675BD" w:rsidRDefault="00884A0C">
      <w:pPr>
        <w:pStyle w:val="normal1"/>
        <w:numPr>
          <w:ilvl w:val="0"/>
          <w:numId w:val="4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 xml:space="preserve">Dokumentacja </w:t>
      </w:r>
      <w:proofErr w:type="spellStart"/>
      <w:r w:rsidRPr="004675BD">
        <w:rPr>
          <w:rFonts w:ascii="Verdana" w:hAnsi="Verdana"/>
          <w:b/>
          <w:sz w:val="20"/>
          <w:szCs w:val="20"/>
        </w:rPr>
        <w:t>Disaster</w:t>
      </w:r>
      <w:proofErr w:type="spellEnd"/>
      <w:r w:rsidRPr="004675BD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4675BD">
        <w:rPr>
          <w:rFonts w:ascii="Verdana" w:hAnsi="Verdana"/>
          <w:b/>
          <w:sz w:val="20"/>
          <w:szCs w:val="20"/>
        </w:rPr>
        <w:t>Recovery</w:t>
      </w:r>
      <w:proofErr w:type="spellEnd"/>
      <w:r w:rsidRPr="004675BD">
        <w:rPr>
          <w:rFonts w:ascii="Verdana" w:hAnsi="Verdana"/>
          <w:b/>
          <w:sz w:val="20"/>
          <w:szCs w:val="20"/>
        </w:rPr>
        <w:t>:</w:t>
      </w:r>
      <w:r w:rsidRPr="004675BD">
        <w:rPr>
          <w:rFonts w:ascii="Verdana" w:hAnsi="Verdana"/>
          <w:sz w:val="20"/>
          <w:szCs w:val="20"/>
        </w:rPr>
        <w:t xml:space="preserve"> Wykonawca dostarczy szczegółową instrukcję i procedurę odtwarzania systemu po awarii w formacie edytowalnym (MS Word). Dokument ten musi krok po kroku (ze zrzutami ekranu z każdego etapu, począwszy od czystej instalacji OS Windows) opisywać:</w:t>
      </w:r>
    </w:p>
    <w:p w14:paraId="7BB5A633" w14:textId="77777777" w:rsidR="00DC0187" w:rsidRPr="004675BD" w:rsidRDefault="00884A0C">
      <w:pPr>
        <w:pStyle w:val="normal1"/>
        <w:numPr>
          <w:ilvl w:val="1"/>
          <w:numId w:val="4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Instalację i konfigurację silnika MS SQL,</w:t>
      </w:r>
    </w:p>
    <w:p w14:paraId="7BB5A634" w14:textId="77777777" w:rsidR="00DC0187" w:rsidRPr="004675BD" w:rsidRDefault="00884A0C">
      <w:pPr>
        <w:pStyle w:val="normal1"/>
        <w:numPr>
          <w:ilvl w:val="1"/>
          <w:numId w:val="4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Podpięcie/przywrócenie bazy danych z backupu,</w:t>
      </w:r>
    </w:p>
    <w:p w14:paraId="7BB5A635" w14:textId="77777777" w:rsidR="00DC0187" w:rsidRPr="004675BD" w:rsidRDefault="00884A0C">
      <w:pPr>
        <w:pStyle w:val="normal1"/>
        <w:numPr>
          <w:ilvl w:val="1"/>
          <w:numId w:val="4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Ponowną instalację oraz pełną konfigurację oprogramowania KD i RCP, pozwalającą na pełne odtworzenie bazy użytkowników, kart, uprawnień i historii zdarzeń.</w:t>
      </w:r>
    </w:p>
    <w:p w14:paraId="7BB5A636" w14:textId="6AF8C622" w:rsidR="00DC0187" w:rsidRPr="004675BD" w:rsidRDefault="00884A0C">
      <w:pPr>
        <w:pStyle w:val="normal1"/>
        <w:numPr>
          <w:ilvl w:val="0"/>
          <w:numId w:val="4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Dokumentacja powykonawcza:</w:t>
      </w:r>
      <w:r w:rsidRPr="004675BD">
        <w:rPr>
          <w:rFonts w:ascii="Verdana" w:hAnsi="Verdana"/>
          <w:sz w:val="20"/>
          <w:szCs w:val="20"/>
        </w:rPr>
        <w:t xml:space="preserve"> Wykonawca dostarczy kompletną dokumentację powykonawczą instalacji </w:t>
      </w:r>
      <w:r w:rsidR="004213BA" w:rsidRPr="004675BD">
        <w:rPr>
          <w:rFonts w:ascii="Verdana" w:hAnsi="Verdana"/>
          <w:sz w:val="20"/>
          <w:szCs w:val="20"/>
        </w:rPr>
        <w:t xml:space="preserve">w formie elektronicznej </w:t>
      </w:r>
      <w:r w:rsidRPr="004675BD">
        <w:rPr>
          <w:rFonts w:ascii="Verdana" w:hAnsi="Verdana"/>
          <w:sz w:val="20"/>
          <w:szCs w:val="20"/>
        </w:rPr>
        <w:t>(w tym schematy okablowania, rozmieszczenia urządzeń oraz matrycę portów sieciowych i połączeń VLAN).</w:t>
      </w:r>
    </w:p>
    <w:p w14:paraId="7BB5A637" w14:textId="77777777" w:rsidR="00DC0187" w:rsidRPr="004675BD" w:rsidRDefault="00884A0C">
      <w:pPr>
        <w:pStyle w:val="Nagwek3"/>
        <w:keepNext w:val="0"/>
        <w:keepLines w:val="0"/>
        <w:spacing w:before="0"/>
        <w:rPr>
          <w:rFonts w:ascii="Verdana" w:hAnsi="Verdana"/>
          <w:sz w:val="20"/>
          <w:szCs w:val="20"/>
        </w:rPr>
      </w:pPr>
      <w:bookmarkStart w:id="9" w:name="_6d5v6quilqvh"/>
      <w:bookmarkEnd w:id="9"/>
      <w:r w:rsidRPr="004675BD">
        <w:rPr>
          <w:rFonts w:ascii="Verdana" w:hAnsi="Verdana"/>
          <w:b/>
          <w:color w:val="000000"/>
          <w:sz w:val="20"/>
          <w:szCs w:val="20"/>
        </w:rPr>
        <w:t>B. Szkolenia użytkowników (3 odrębne moduły)</w:t>
      </w:r>
    </w:p>
    <w:p w14:paraId="7BB5A638" w14:textId="77777777" w:rsidR="00DC0187" w:rsidRPr="004675BD" w:rsidRDefault="00884A0C">
      <w:pPr>
        <w:pStyle w:val="normal1"/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Wykonawca zobowiązany jest do przeprowadzenia dedykowanych szkoleń stanowiskowych dla pracowników Zamawiającego, podzielonych na 3 niezależne panele tematyczne:</w:t>
      </w:r>
    </w:p>
    <w:p w14:paraId="7BB5A639" w14:textId="77777777" w:rsidR="00DC0187" w:rsidRPr="004675BD" w:rsidRDefault="00884A0C">
      <w:pPr>
        <w:pStyle w:val="normal1"/>
        <w:numPr>
          <w:ilvl w:val="0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Szkolenie dla Administratorów Systemu (Dział IT / Administracja):</w:t>
      </w:r>
    </w:p>
    <w:p w14:paraId="7BB5A63A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Zarządzanie oprogramowaniem Roger VISO v.2,</w:t>
      </w:r>
    </w:p>
    <w:p w14:paraId="7BB5A63B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Dodawanie, programowanie i wydawanie kart dostępu,</w:t>
      </w:r>
    </w:p>
    <w:p w14:paraId="7BB5A63C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Tworzenie stref, nadawanie i modyfikacja uprawnień dla użytkowników oraz grup,</w:t>
      </w:r>
    </w:p>
    <w:p w14:paraId="7BB5A63D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Diagnostyka urządzeń, zmiana parametrów sieciowych, obsługa sytuacji awaryjnych oraz zarządzanie kopiami zapasowymi.</w:t>
      </w:r>
    </w:p>
    <w:p w14:paraId="7BB5A63E" w14:textId="77777777" w:rsidR="00DC0187" w:rsidRPr="004675BD" w:rsidRDefault="00884A0C">
      <w:pPr>
        <w:pStyle w:val="normal1"/>
        <w:numPr>
          <w:ilvl w:val="0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Szkolenie dla Działu Kadr (Rozliczanie Czasu Pracy - RCP):</w:t>
      </w:r>
    </w:p>
    <w:p w14:paraId="7BB5A63F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lastRenderedPageBreak/>
        <w:t>Obsługa oprogramowania Roger RCP Master 4,</w:t>
      </w:r>
    </w:p>
    <w:p w14:paraId="7BB5A640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 xml:space="preserve">Definiowanie harmonogramów pracy, kalendarzy i </w:t>
      </w:r>
      <w:proofErr w:type="spellStart"/>
      <w:r w:rsidRPr="004675BD">
        <w:rPr>
          <w:rFonts w:ascii="Verdana" w:hAnsi="Verdana"/>
          <w:sz w:val="20"/>
          <w:szCs w:val="20"/>
        </w:rPr>
        <w:t>wyłączeń</w:t>
      </w:r>
      <w:proofErr w:type="spellEnd"/>
      <w:r w:rsidRPr="004675BD">
        <w:rPr>
          <w:rFonts w:ascii="Verdana" w:hAnsi="Verdana"/>
          <w:sz w:val="20"/>
          <w:szCs w:val="20"/>
        </w:rPr>
        <w:t xml:space="preserve"> (urlopy, zwolnienia),</w:t>
      </w:r>
    </w:p>
    <w:p w14:paraId="7BB5A641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Zarządzanie rejestrem wyjść służbowych oraz prywatnych,</w:t>
      </w:r>
    </w:p>
    <w:p w14:paraId="7BB5A642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Generowanie i eksport raportów czasu pracy na potrzeby rozliczeń pracowniczych.</w:t>
      </w:r>
    </w:p>
    <w:p w14:paraId="7BB5A643" w14:textId="77777777" w:rsidR="00DC0187" w:rsidRPr="004675BD" w:rsidRDefault="00884A0C">
      <w:pPr>
        <w:pStyle w:val="normal1"/>
        <w:numPr>
          <w:ilvl w:val="0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Szkolenie dla Biura Przepustek / Pracowników Ochrony (Obsługa Gości i Pojazdów):</w:t>
      </w:r>
    </w:p>
    <w:p w14:paraId="7BB5A644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Podgląd zdarzeń i osób przebywających na terenie obiektu w czasie rzeczywistym na stacji roboczej w pomieszczeniu ochrony,</w:t>
      </w:r>
    </w:p>
    <w:p w14:paraId="7BB5A645" w14:textId="77777777" w:rsidR="00DC0187" w:rsidRPr="004675BD" w:rsidRDefault="00884A0C">
      <w:pPr>
        <w:pStyle w:val="normal1"/>
        <w:numPr>
          <w:ilvl w:val="1"/>
          <w:numId w:val="6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 xml:space="preserve">Prowadzenie elektronicznej Księgi Gości (rejestracja wejść/wyjść osób wizytujących, wydawanie kart </w:t>
      </w:r>
      <w:proofErr w:type="spellStart"/>
      <w:r w:rsidRPr="004675BD">
        <w:rPr>
          <w:rFonts w:ascii="Verdana" w:hAnsi="Verdana"/>
          <w:sz w:val="20"/>
          <w:szCs w:val="20"/>
        </w:rPr>
        <w:t>przepustkowych</w:t>
      </w:r>
      <w:proofErr w:type="spellEnd"/>
      <w:r w:rsidRPr="004675BD">
        <w:rPr>
          <w:rFonts w:ascii="Verdana" w:hAnsi="Verdana"/>
          <w:sz w:val="20"/>
          <w:szCs w:val="20"/>
        </w:rPr>
        <w:t>/przypisywanie kart gościa),</w:t>
      </w:r>
    </w:p>
    <w:p w14:paraId="7BB5A646" w14:textId="77777777" w:rsidR="00DC0187" w:rsidRPr="004675BD" w:rsidRDefault="00884A0C">
      <w:pPr>
        <w:pStyle w:val="normal1"/>
        <w:numPr>
          <w:ilvl w:val="1"/>
          <w:numId w:val="6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Rejestracja i ewidencja pojazdów wjeżdżających/wyjeżdżających przez bramę główną.</w:t>
      </w:r>
    </w:p>
    <w:p w14:paraId="7BB5A647" w14:textId="77777777" w:rsidR="00DC0187" w:rsidRPr="004675BD" w:rsidRDefault="00884A0C">
      <w:pPr>
        <w:pStyle w:val="Tekstpodstawowy"/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Materiały szkoleniowe i instrukcje stanowiskowe:</w:t>
      </w:r>
    </w:p>
    <w:p w14:paraId="7BB5A648" w14:textId="77777777" w:rsidR="00DC0187" w:rsidRPr="004675BD" w:rsidRDefault="00884A0C">
      <w:pPr>
        <w:pStyle w:val="Tekstpodstawowy"/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 xml:space="preserve">Wykonawca w ramach realizacji przedmiotu zamówienia zobowiązany jest do przekazania Zamawiającemu materiałów szkoleniowych w języku polskim w formie elektronicznej (edytowalny plik MS Word / PDF). Materiały muszą zawierać dedykowane, skrócone </w:t>
      </w:r>
      <w:r w:rsidRPr="004675BD">
        <w:rPr>
          <w:rFonts w:ascii="Verdana" w:hAnsi="Verdana"/>
          <w:b/>
          <w:sz w:val="20"/>
          <w:szCs w:val="20"/>
        </w:rPr>
        <w:t>instrukcje stanowiskowe</w:t>
      </w:r>
      <w:r w:rsidRPr="004675BD">
        <w:rPr>
          <w:rFonts w:ascii="Verdana" w:hAnsi="Verdana"/>
          <w:sz w:val="20"/>
          <w:szCs w:val="20"/>
        </w:rPr>
        <w:t xml:space="preserve"> (z krokami opisanymi i zilustrowanymi zrzutami ekranu z systemu Roger VISO / RCP Master 4) odpowiadające poszczególnym modułom szkoleniowym:</w:t>
      </w:r>
    </w:p>
    <w:p w14:paraId="7BB5A649" w14:textId="77777777" w:rsidR="00DC0187" w:rsidRPr="004675BD" w:rsidRDefault="00884A0C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Instrukcja dla Administratora IT</w:t>
      </w:r>
      <w:r w:rsidRPr="004675BD">
        <w:rPr>
          <w:rFonts w:ascii="Verdana" w:hAnsi="Verdana"/>
          <w:sz w:val="20"/>
          <w:szCs w:val="20"/>
        </w:rPr>
        <w:t xml:space="preserve"> (zarządzanie uprawnieniami, kartami i serwerem),</w:t>
      </w:r>
    </w:p>
    <w:p w14:paraId="7BB5A64A" w14:textId="77777777" w:rsidR="00DC0187" w:rsidRPr="004675BD" w:rsidRDefault="00884A0C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Instrukcja dla Działu Kadr</w:t>
      </w:r>
      <w:r w:rsidRPr="004675BD">
        <w:rPr>
          <w:rFonts w:ascii="Verdana" w:hAnsi="Verdana"/>
          <w:sz w:val="20"/>
          <w:szCs w:val="20"/>
        </w:rPr>
        <w:t xml:space="preserve"> (rozliczanie czasu pracy, urlopy, raporty RCP),</w:t>
      </w:r>
    </w:p>
    <w:p w14:paraId="7BB5A64B" w14:textId="77777777" w:rsidR="00DC0187" w:rsidRPr="004675BD" w:rsidRDefault="00884A0C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b/>
          <w:sz w:val="20"/>
          <w:szCs w:val="20"/>
        </w:rPr>
        <w:t>Instrukcja dla Pomieszczenia Ochrony / Biura Przepustek</w:t>
      </w:r>
      <w:r w:rsidRPr="004675BD">
        <w:rPr>
          <w:rFonts w:ascii="Verdana" w:hAnsi="Verdana"/>
          <w:sz w:val="20"/>
          <w:szCs w:val="20"/>
        </w:rPr>
        <w:t xml:space="preserve"> (obsługa Księgi Gości, ewidencja pojazdów, wydawanie kart tymczasowych).</w:t>
      </w:r>
    </w:p>
    <w:p w14:paraId="7BB5A64C" w14:textId="77777777" w:rsidR="00DC0187" w:rsidRPr="004675BD" w:rsidRDefault="00884A0C">
      <w:pPr>
        <w:pStyle w:val="Nagwek3"/>
        <w:keepNext w:val="0"/>
        <w:keepLines w:val="0"/>
        <w:spacing w:before="0"/>
        <w:rPr>
          <w:rFonts w:ascii="Verdana" w:hAnsi="Verdana"/>
          <w:sz w:val="20"/>
          <w:szCs w:val="20"/>
        </w:rPr>
      </w:pPr>
      <w:bookmarkStart w:id="10" w:name="_w3k9qfa2kcwf"/>
      <w:bookmarkEnd w:id="10"/>
      <w:r w:rsidRPr="004675BD">
        <w:rPr>
          <w:rFonts w:ascii="Verdana" w:hAnsi="Verdana"/>
          <w:b/>
          <w:color w:val="000000"/>
          <w:sz w:val="20"/>
          <w:szCs w:val="20"/>
        </w:rPr>
        <w:t>C. Wymagania formalne i poufność (NDA)</w:t>
      </w:r>
    </w:p>
    <w:p w14:paraId="7BB5A64D" w14:textId="77777777" w:rsidR="00DC0187" w:rsidRPr="004675BD" w:rsidRDefault="00884A0C">
      <w:pPr>
        <w:pStyle w:val="normal1"/>
        <w:numPr>
          <w:ilvl w:val="0"/>
          <w:numId w:val="3"/>
        </w:numPr>
        <w:spacing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Posiadanie aktualnej koncesji MSWiA w zakresie usług ochrony mienia realizowanych w formie zabezpieczenia technicznego.</w:t>
      </w:r>
    </w:p>
    <w:p w14:paraId="7BB5A64E" w14:textId="77777777" w:rsidR="00DC0187" w:rsidRPr="004675BD" w:rsidRDefault="00884A0C">
      <w:pPr>
        <w:pStyle w:val="normal1"/>
        <w:numPr>
          <w:ilvl w:val="0"/>
          <w:numId w:val="3"/>
        </w:numPr>
        <w:spacing w:after="240" w:line="240" w:lineRule="auto"/>
        <w:rPr>
          <w:rFonts w:ascii="Verdana" w:hAnsi="Verdana"/>
          <w:sz w:val="20"/>
          <w:szCs w:val="20"/>
        </w:rPr>
      </w:pPr>
      <w:r w:rsidRPr="004675BD">
        <w:rPr>
          <w:rFonts w:ascii="Verdana" w:hAnsi="Verdana"/>
          <w:sz w:val="20"/>
          <w:szCs w:val="20"/>
        </w:rPr>
        <w:t>Wykonawca zobowiązany jest do podpisania umowy o zachowaniu poufności (NDA) przed przystąpieniem do realizacji prac oraz do bezwzględnego przestrzegania zasad ochrony informacji i danych osobowych obowiązujących w Instytucie.</w:t>
      </w:r>
    </w:p>
    <w:p w14:paraId="1907B1B0" w14:textId="1DB2D2EE" w:rsidR="000F009D" w:rsidRPr="00DF0BC9" w:rsidRDefault="00884A0C" w:rsidP="00DF0BC9">
      <w:pPr>
        <w:pStyle w:val="Nagwek2"/>
      </w:pPr>
      <w:bookmarkStart w:id="11" w:name="_a8f4b8w864uo"/>
      <w:bookmarkEnd w:id="11"/>
      <w:r w:rsidRPr="00DF0BC9">
        <w:t>6. Gwarancja i warunki świadczenia wsparcia (SLA)</w:t>
      </w:r>
    </w:p>
    <w:p w14:paraId="6566AE68" w14:textId="74F6B69E" w:rsidR="004847F2" w:rsidRPr="004847F2" w:rsidRDefault="004847F2" w:rsidP="00C2352C">
      <w:pPr>
        <w:pStyle w:val="normal1"/>
        <w:spacing w:after="240"/>
        <w:ind w:left="720"/>
        <w:rPr>
          <w:rFonts w:ascii="Verdana" w:hAnsi="Verdana"/>
          <w:sz w:val="20"/>
          <w:szCs w:val="20"/>
        </w:rPr>
      </w:pPr>
      <w:r w:rsidRPr="004847F2">
        <w:rPr>
          <w:rFonts w:ascii="Verdana" w:hAnsi="Verdana"/>
          <w:sz w:val="20"/>
          <w:szCs w:val="20"/>
        </w:rPr>
        <w:t xml:space="preserve">● </w:t>
      </w:r>
      <w:r w:rsidRPr="004847F2">
        <w:rPr>
          <w:rFonts w:ascii="Verdana" w:hAnsi="Verdana"/>
          <w:b/>
          <w:bCs/>
          <w:sz w:val="20"/>
          <w:szCs w:val="20"/>
        </w:rPr>
        <w:t>Gwarancja podstawowa:</w:t>
      </w:r>
      <w:r w:rsidRPr="004847F2">
        <w:rPr>
          <w:rFonts w:ascii="Verdana" w:hAnsi="Verdana"/>
          <w:sz w:val="20"/>
          <w:szCs w:val="20"/>
        </w:rPr>
        <w:t xml:space="preserve"> Wykonawca udzieli minimum 24-miesięcznej gwarancji na wykonane prace instalacyjne, okablowanie oraz wszystkie dostarczone urządzenia i oprogramowanie. </w:t>
      </w:r>
    </w:p>
    <w:p w14:paraId="2F3DBDD3" w14:textId="77777777" w:rsidR="004847F2" w:rsidRPr="004847F2" w:rsidRDefault="004847F2" w:rsidP="00C2352C">
      <w:pPr>
        <w:pStyle w:val="normal1"/>
        <w:spacing w:after="120"/>
        <w:ind w:left="720"/>
        <w:rPr>
          <w:rFonts w:ascii="Verdana" w:hAnsi="Verdana"/>
          <w:sz w:val="20"/>
          <w:szCs w:val="20"/>
        </w:rPr>
      </w:pPr>
      <w:r w:rsidRPr="004847F2">
        <w:rPr>
          <w:rFonts w:ascii="Verdana" w:hAnsi="Verdana"/>
          <w:sz w:val="20"/>
          <w:szCs w:val="20"/>
        </w:rPr>
        <w:t xml:space="preserve">● </w:t>
      </w:r>
      <w:r w:rsidRPr="004847F2">
        <w:rPr>
          <w:rFonts w:ascii="Verdana" w:hAnsi="Verdana"/>
          <w:b/>
          <w:bCs/>
          <w:sz w:val="20"/>
          <w:szCs w:val="20"/>
        </w:rPr>
        <w:t>Wariantowe propozycja czasów reakcji i naprawy (SLA):</w:t>
      </w:r>
      <w:r w:rsidRPr="004847F2">
        <w:rPr>
          <w:rFonts w:ascii="Verdana" w:hAnsi="Verdana"/>
          <w:sz w:val="20"/>
          <w:szCs w:val="20"/>
        </w:rPr>
        <w:t xml:space="preserve"> Wykonawca zobowiązany jest do przedstawienia w ofercie dwóch wariantów czasów reakcji i naprawy w ramach świadczenia obsługi gwarancyjnej/serwisowej, uwzględniających rozróżnienie na:</w:t>
      </w:r>
    </w:p>
    <w:p w14:paraId="6EA80CA9" w14:textId="77777777" w:rsidR="004847F2" w:rsidRPr="004847F2" w:rsidRDefault="004847F2" w:rsidP="00C2352C">
      <w:pPr>
        <w:pStyle w:val="normal1"/>
        <w:numPr>
          <w:ilvl w:val="0"/>
          <w:numId w:val="12"/>
        </w:numPr>
        <w:tabs>
          <w:tab w:val="clear" w:pos="720"/>
          <w:tab w:val="num" w:pos="1440"/>
        </w:tabs>
        <w:spacing w:after="240"/>
        <w:ind w:left="1440"/>
        <w:rPr>
          <w:rFonts w:ascii="Verdana" w:hAnsi="Verdana"/>
          <w:sz w:val="20"/>
          <w:szCs w:val="20"/>
        </w:rPr>
      </w:pPr>
      <w:r w:rsidRPr="004847F2">
        <w:rPr>
          <w:rFonts w:ascii="Verdana" w:hAnsi="Verdana"/>
          <w:b/>
          <w:bCs/>
          <w:sz w:val="20"/>
          <w:szCs w:val="20"/>
        </w:rPr>
        <w:t>Awarie krytyczne</w:t>
      </w:r>
      <w:r w:rsidRPr="004847F2">
        <w:rPr>
          <w:rFonts w:ascii="Verdana" w:hAnsi="Verdana"/>
          <w:sz w:val="20"/>
          <w:szCs w:val="20"/>
        </w:rPr>
        <w:t xml:space="preserve"> (np. awaria serwera, brak możliwości otwarcia bramy/bramki głównej, paraliż całego systemu KD/RCP),</w:t>
      </w:r>
    </w:p>
    <w:p w14:paraId="3FFA9466" w14:textId="77777777" w:rsidR="004847F2" w:rsidRPr="004847F2" w:rsidRDefault="004847F2" w:rsidP="00C2352C">
      <w:pPr>
        <w:pStyle w:val="normal1"/>
        <w:numPr>
          <w:ilvl w:val="0"/>
          <w:numId w:val="12"/>
        </w:numPr>
        <w:tabs>
          <w:tab w:val="clear" w:pos="720"/>
          <w:tab w:val="num" w:pos="1440"/>
        </w:tabs>
        <w:spacing w:after="240"/>
        <w:ind w:left="1440"/>
        <w:rPr>
          <w:rFonts w:ascii="Verdana" w:hAnsi="Verdana"/>
          <w:sz w:val="20"/>
          <w:szCs w:val="20"/>
        </w:rPr>
      </w:pPr>
      <w:r w:rsidRPr="004847F2">
        <w:rPr>
          <w:rFonts w:ascii="Verdana" w:hAnsi="Verdana"/>
          <w:b/>
          <w:bCs/>
          <w:sz w:val="20"/>
          <w:szCs w:val="20"/>
        </w:rPr>
        <w:lastRenderedPageBreak/>
        <w:t>Usterki standardowe</w:t>
      </w:r>
      <w:r w:rsidRPr="004847F2">
        <w:rPr>
          <w:rFonts w:ascii="Verdana" w:hAnsi="Verdana"/>
          <w:sz w:val="20"/>
          <w:szCs w:val="20"/>
        </w:rPr>
        <w:t xml:space="preserve"> (np. uszkodzenie pojedynczego czytnika na wejściu do budynku, usterka jednej karty).</w:t>
      </w:r>
    </w:p>
    <w:p w14:paraId="4B7336FE" w14:textId="0356ADC2" w:rsidR="000F009D" w:rsidRPr="00F55C35" w:rsidRDefault="001A1C5F" w:rsidP="00C64FAF">
      <w:pPr>
        <w:pStyle w:val="normal1"/>
        <w:tabs>
          <w:tab w:val="num" w:pos="1800"/>
        </w:tabs>
        <w:spacing w:after="240"/>
        <w:ind w:left="1080"/>
        <w:rPr>
          <w:rFonts w:ascii="Verdana" w:hAnsi="Verdana"/>
          <w:sz w:val="20"/>
          <w:szCs w:val="20"/>
        </w:rPr>
      </w:pPr>
      <w:r w:rsidRPr="001A1C5F">
        <w:rPr>
          <w:rFonts w:ascii="Verdana" w:hAnsi="Verdana"/>
          <w:sz w:val="20"/>
          <w:szCs w:val="20"/>
        </w:rPr>
        <w:t xml:space="preserve">● </w:t>
      </w:r>
      <w:r w:rsidRPr="001A1C5F">
        <w:rPr>
          <w:rFonts w:ascii="Verdana" w:hAnsi="Verdana"/>
          <w:b/>
          <w:bCs/>
          <w:sz w:val="20"/>
          <w:szCs w:val="20"/>
        </w:rPr>
        <w:t>Dostęp do aktualizacji oprogramowania i informowanie o nowych wersjach:</w:t>
      </w:r>
      <w:r w:rsidRPr="001A1C5F">
        <w:rPr>
          <w:rFonts w:ascii="Verdana" w:hAnsi="Verdana"/>
          <w:sz w:val="20"/>
          <w:szCs w:val="20"/>
        </w:rPr>
        <w:t xml:space="preserve"> Wykonawca zobowiązany jest do wskazania w ofercie okresu, przez który zapewni bezpłatne aktualizacje oprogramowania oraz wsparcie dla dostarczonych systemów </w:t>
      </w:r>
      <w:r w:rsidRPr="001A1C5F">
        <w:rPr>
          <w:rFonts w:ascii="Verdana" w:hAnsi="Verdana"/>
          <w:b/>
          <w:bCs/>
          <w:sz w:val="20"/>
          <w:szCs w:val="20"/>
        </w:rPr>
        <w:t>Roger (VISO v.2 oraz RCP Master 4)</w:t>
      </w:r>
      <w:r w:rsidRPr="001A1C5F">
        <w:rPr>
          <w:rFonts w:ascii="Verdana" w:hAnsi="Verdana"/>
          <w:sz w:val="20"/>
          <w:szCs w:val="20"/>
        </w:rPr>
        <w:t xml:space="preserve">. Okres ten musi być </w:t>
      </w:r>
      <w:r w:rsidRPr="001A1C5F">
        <w:rPr>
          <w:rFonts w:ascii="Verdana" w:hAnsi="Verdana"/>
          <w:b/>
          <w:bCs/>
          <w:sz w:val="20"/>
          <w:szCs w:val="20"/>
        </w:rPr>
        <w:t>nie krótszy niż oferowany okres gwarancji (minimum 24 miesiące)</w:t>
      </w:r>
      <w:r w:rsidRPr="001A1C5F">
        <w:rPr>
          <w:rFonts w:ascii="Verdana" w:hAnsi="Verdana"/>
          <w:sz w:val="20"/>
          <w:szCs w:val="20"/>
        </w:rPr>
        <w:t>. W ramach tego zobowiązania Wykonawca jest odpowiedzialny za</w:t>
      </w:r>
      <w:r w:rsidR="00C64FAF">
        <w:rPr>
          <w:rFonts w:ascii="Verdana" w:hAnsi="Verdana"/>
          <w:sz w:val="20"/>
          <w:szCs w:val="20"/>
        </w:rPr>
        <w:t xml:space="preserve"> z</w:t>
      </w:r>
      <w:r w:rsidRPr="001A1C5F">
        <w:rPr>
          <w:rFonts w:ascii="Verdana" w:hAnsi="Verdana"/>
          <w:sz w:val="20"/>
          <w:szCs w:val="20"/>
        </w:rPr>
        <w:t>agwarantowanie Zamawiającemu pełnego, legalnego prawa do pobierania nowych wersji, poprawek oraz aktualizacji bazodanowych oprogramowania Roger przez zadeklarowany czas.</w:t>
      </w:r>
    </w:p>
    <w:sectPr w:rsidR="000F009D" w:rsidRPr="00F55C35">
      <w:pgSz w:w="11906" w:h="16838"/>
      <w:pgMar w:top="1440" w:right="1440" w:bottom="1440" w:left="1440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913CAC56-6CC2-4733-9C64-45EFCCFA3C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1D399788-BE23-4FD8-984D-2F39103B0974}"/>
    <w:embedBold r:id="rId3" w:fontKey="{1719345B-1796-48FC-8C8A-60B8839B4223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4" w:fontKey="{40AAAE98-FD5C-499C-8C72-C90F4275AF95}"/>
    <w:embedBold r:id="rId5" w:fontKey="{5CBAB128-6C68-4300-95F9-893D42EDAC7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C29DDA8-9102-43B0-A8CE-7789C8375C3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A1EDB075-3E82-44CB-845A-551EEAD9A80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5C4"/>
    <w:multiLevelType w:val="multilevel"/>
    <w:tmpl w:val="85A2010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0E26E86"/>
    <w:multiLevelType w:val="multilevel"/>
    <w:tmpl w:val="95C40A3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 w15:restartNumberingAfterBreak="0">
    <w:nsid w:val="13FC4FD0"/>
    <w:multiLevelType w:val="multilevel"/>
    <w:tmpl w:val="CDD4FB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21225EDB"/>
    <w:multiLevelType w:val="multilevel"/>
    <w:tmpl w:val="7804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02690"/>
    <w:multiLevelType w:val="multilevel"/>
    <w:tmpl w:val="6950B9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390F373B"/>
    <w:multiLevelType w:val="multilevel"/>
    <w:tmpl w:val="2BB05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A44EB"/>
    <w:multiLevelType w:val="multilevel"/>
    <w:tmpl w:val="828CC6B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4EDE4DC7"/>
    <w:multiLevelType w:val="multilevel"/>
    <w:tmpl w:val="196C9EE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545B638F"/>
    <w:multiLevelType w:val="multilevel"/>
    <w:tmpl w:val="76B220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8AF6D57"/>
    <w:multiLevelType w:val="multilevel"/>
    <w:tmpl w:val="C8AC0C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0" w15:restartNumberingAfterBreak="0">
    <w:nsid w:val="5E344912"/>
    <w:multiLevelType w:val="multilevel"/>
    <w:tmpl w:val="ECE6E6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5F7F527C"/>
    <w:multiLevelType w:val="multilevel"/>
    <w:tmpl w:val="4DA28E0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67BE3892"/>
    <w:multiLevelType w:val="multilevel"/>
    <w:tmpl w:val="DC96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7729B"/>
    <w:multiLevelType w:val="multilevel"/>
    <w:tmpl w:val="052482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21645"/>
    <w:multiLevelType w:val="multilevel"/>
    <w:tmpl w:val="EFB2176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5" w15:restartNumberingAfterBreak="0">
    <w:nsid w:val="7B0B2393"/>
    <w:multiLevelType w:val="multilevel"/>
    <w:tmpl w:val="130E446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 w15:restartNumberingAfterBreak="0">
    <w:nsid w:val="7D8E02C3"/>
    <w:multiLevelType w:val="multilevel"/>
    <w:tmpl w:val="1D8AACB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 w16cid:durableId="1573732643">
    <w:abstractNumId w:val="0"/>
  </w:num>
  <w:num w:numId="2" w16cid:durableId="277950443">
    <w:abstractNumId w:val="7"/>
  </w:num>
  <w:num w:numId="3" w16cid:durableId="73863607">
    <w:abstractNumId w:val="11"/>
  </w:num>
  <w:num w:numId="4" w16cid:durableId="139689466">
    <w:abstractNumId w:val="1"/>
  </w:num>
  <w:num w:numId="5" w16cid:durableId="1483738898">
    <w:abstractNumId w:val="14"/>
  </w:num>
  <w:num w:numId="6" w16cid:durableId="1337155139">
    <w:abstractNumId w:val="9"/>
  </w:num>
  <w:num w:numId="7" w16cid:durableId="400057796">
    <w:abstractNumId w:val="16"/>
  </w:num>
  <w:num w:numId="8" w16cid:durableId="1643074497">
    <w:abstractNumId w:val="15"/>
  </w:num>
  <w:num w:numId="9" w16cid:durableId="689990024">
    <w:abstractNumId w:val="6"/>
  </w:num>
  <w:num w:numId="10" w16cid:durableId="1064529126">
    <w:abstractNumId w:val="2"/>
  </w:num>
  <w:num w:numId="11" w16cid:durableId="1375471181">
    <w:abstractNumId w:val="8"/>
  </w:num>
  <w:num w:numId="12" w16cid:durableId="1723366644">
    <w:abstractNumId w:val="3"/>
  </w:num>
  <w:num w:numId="13" w16cid:durableId="876623906">
    <w:abstractNumId w:val="12"/>
  </w:num>
  <w:num w:numId="14" w16cid:durableId="1221402917">
    <w:abstractNumId w:val="5"/>
  </w:num>
  <w:num w:numId="15" w16cid:durableId="369376100">
    <w:abstractNumId w:val="4"/>
  </w:num>
  <w:num w:numId="16" w16cid:durableId="1803379010">
    <w:abstractNumId w:val="10"/>
  </w:num>
  <w:num w:numId="17" w16cid:durableId="6351846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87"/>
    <w:rsid w:val="00004B94"/>
    <w:rsid w:val="00006DA6"/>
    <w:rsid w:val="000258C4"/>
    <w:rsid w:val="00030C1A"/>
    <w:rsid w:val="000F009D"/>
    <w:rsid w:val="00185634"/>
    <w:rsid w:val="001A1C5F"/>
    <w:rsid w:val="00203D46"/>
    <w:rsid w:val="00206329"/>
    <w:rsid w:val="00243B98"/>
    <w:rsid w:val="00295A32"/>
    <w:rsid w:val="002A7BD7"/>
    <w:rsid w:val="002C5D9B"/>
    <w:rsid w:val="00340808"/>
    <w:rsid w:val="003B7C05"/>
    <w:rsid w:val="004213BA"/>
    <w:rsid w:val="004675BD"/>
    <w:rsid w:val="00482645"/>
    <w:rsid w:val="004847F2"/>
    <w:rsid w:val="005D3B98"/>
    <w:rsid w:val="00601EAA"/>
    <w:rsid w:val="00607F5D"/>
    <w:rsid w:val="00625469"/>
    <w:rsid w:val="0063204C"/>
    <w:rsid w:val="006A3F0D"/>
    <w:rsid w:val="006B3650"/>
    <w:rsid w:val="00766A3E"/>
    <w:rsid w:val="00794F50"/>
    <w:rsid w:val="007A4674"/>
    <w:rsid w:val="007B7DC7"/>
    <w:rsid w:val="00863D89"/>
    <w:rsid w:val="00884A0C"/>
    <w:rsid w:val="008C590C"/>
    <w:rsid w:val="0099631C"/>
    <w:rsid w:val="00A83179"/>
    <w:rsid w:val="00B530E2"/>
    <w:rsid w:val="00B95DFE"/>
    <w:rsid w:val="00C2352C"/>
    <w:rsid w:val="00C412AB"/>
    <w:rsid w:val="00C64FAF"/>
    <w:rsid w:val="00C7300E"/>
    <w:rsid w:val="00D05AC6"/>
    <w:rsid w:val="00D44F74"/>
    <w:rsid w:val="00D746C7"/>
    <w:rsid w:val="00D87B49"/>
    <w:rsid w:val="00DC0187"/>
    <w:rsid w:val="00DC2708"/>
    <w:rsid w:val="00DF0BC9"/>
    <w:rsid w:val="00E578F1"/>
    <w:rsid w:val="00F55C35"/>
    <w:rsid w:val="00F563BE"/>
    <w:rsid w:val="00FC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5A606"/>
  <w15:docId w15:val="{995C174B-18A0-43B1-83C6-00FCC4AD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gwek2">
    <w:name w:val="heading 2"/>
    <w:basedOn w:val="normal1"/>
    <w:next w:val="normal1"/>
    <w:uiPriority w:val="9"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gwek3">
    <w:name w:val="heading 3"/>
    <w:basedOn w:val="normal1"/>
    <w:next w:val="normal1"/>
    <w:uiPriority w:val="9"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Tytu">
    <w:name w:val="Title"/>
    <w:basedOn w:val="normal1"/>
    <w:next w:val="normal1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Podtytu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675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5BD"/>
    <w:pPr>
      <w:spacing w:line="240" w:lineRule="auto"/>
    </w:pPr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5BD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5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5BD"/>
    <w:rPr>
      <w:rFonts w:cs="Mangal"/>
      <w:b/>
      <w:bCs/>
      <w:sz w:val="20"/>
      <w:szCs w:val="18"/>
    </w:rPr>
  </w:style>
  <w:style w:type="paragraph" w:styleId="Poprawka">
    <w:name w:val="Revision"/>
    <w:hidden/>
    <w:uiPriority w:val="99"/>
    <w:semiHidden/>
    <w:rsid w:val="00D87B49"/>
    <w:pPr>
      <w:suppressAutoHyphens w:val="0"/>
    </w:pPr>
    <w:rPr>
      <w:rFonts w:cs="Mangal"/>
      <w:szCs w:val="20"/>
    </w:rPr>
  </w:style>
  <w:style w:type="paragraph" w:styleId="Akapitzlist">
    <w:name w:val="List Paragraph"/>
    <w:basedOn w:val="Normalny"/>
    <w:uiPriority w:val="34"/>
    <w:qFormat/>
    <w:rsid w:val="00794F50"/>
    <w:pPr>
      <w:ind w:left="720"/>
      <w:contextualSpacing/>
    </w:pPr>
    <w:rPr>
      <w:rFonts w:cs="Mangal"/>
      <w:szCs w:val="20"/>
    </w:rPr>
  </w:style>
  <w:style w:type="character" w:styleId="Hipercze">
    <w:name w:val="Hyperlink"/>
    <w:basedOn w:val="Domylnaczcionkaakapitu"/>
    <w:uiPriority w:val="99"/>
    <w:unhideWhenUsed/>
    <w:rsid w:val="00B530E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3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y@ipo.lukasiewicz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2CD22-FE44-4396-A864-1BAEAF8B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2107</Words>
  <Characters>12647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Stefanowski | Łukasiewicz – IPO</dc:creator>
  <dc:description/>
  <cp:lastModifiedBy>Radosław Stefanowski | Łukasiewicz – IPO</cp:lastModifiedBy>
  <cp:revision>4</cp:revision>
  <cp:lastPrinted>2026-09-16T06:49:00Z</cp:lastPrinted>
  <dcterms:created xsi:type="dcterms:W3CDTF">2026-09-23T08:21:00Z</dcterms:created>
  <dcterms:modified xsi:type="dcterms:W3CDTF">2026-09-24T06:43:00Z</dcterms:modified>
  <dc:language>pl-PL</dc:language>
</cp:coreProperties>
</file>